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6A49" w14:textId="77777777" w:rsidR="00FE596E" w:rsidRPr="00C478F0" w:rsidRDefault="00FE596E" w:rsidP="00A45183">
      <w:pPr>
        <w:jc w:val="center"/>
        <w:rPr>
          <w:rFonts w:ascii="Lucida Bright" w:hAnsi="Lucida Bright"/>
          <w:b/>
          <w:i/>
          <w:sz w:val="34"/>
          <w:szCs w:val="34"/>
        </w:rPr>
      </w:pPr>
    </w:p>
    <w:p w14:paraId="100635C5" w14:textId="77777777" w:rsidR="00A45183" w:rsidRPr="00C478F0" w:rsidRDefault="00C478F0" w:rsidP="000A612F">
      <w:pPr>
        <w:pStyle w:val="Default"/>
        <w:jc w:val="center"/>
        <w:rPr>
          <w:rFonts w:ascii="Lucida Bright" w:hAnsi="Lucida Bright"/>
          <w:b/>
          <w:i/>
          <w:iCs/>
          <w:color w:val="auto"/>
          <w:sz w:val="34"/>
          <w:szCs w:val="34"/>
        </w:rPr>
      </w:pPr>
      <w:r w:rsidRPr="00C478F0">
        <w:rPr>
          <w:rFonts w:ascii="Lucida Bright" w:hAnsi="Lucida Bright"/>
          <w:b/>
          <w:i/>
          <w:sz w:val="34"/>
          <w:szCs w:val="34"/>
        </w:rPr>
        <w:t xml:space="preserve">G674: - </w:t>
      </w:r>
      <w:r w:rsidRPr="00C478F0">
        <w:rPr>
          <w:rFonts w:ascii="Lucida Bright" w:hAnsi="Lucida Bright"/>
          <w:b/>
          <w:i/>
          <w:iCs/>
          <w:sz w:val="34"/>
          <w:szCs w:val="34"/>
        </w:rPr>
        <w:t>Exploring Social Inequality and Difference</w:t>
      </w:r>
    </w:p>
    <w:p w14:paraId="59498E16" w14:textId="77777777" w:rsidR="000A612F" w:rsidRPr="00064A98" w:rsidRDefault="000A612F" w:rsidP="000A612F">
      <w:pPr>
        <w:pStyle w:val="Default"/>
        <w:jc w:val="center"/>
        <w:rPr>
          <w:rFonts w:ascii="Times New Roman" w:hAnsi="Times New Roman"/>
        </w:rPr>
      </w:pPr>
    </w:p>
    <w:p w14:paraId="75DCB712" w14:textId="77777777" w:rsidR="00A45183" w:rsidRPr="00064A98" w:rsidRDefault="00A45183">
      <w:pPr>
        <w:rPr>
          <w:rFonts w:ascii="Times New Roman" w:hAnsi="Times New Roman"/>
        </w:rPr>
      </w:pPr>
      <w:r w:rsidRPr="00064A98">
        <w:rPr>
          <w:rFonts w:ascii="Times New Roman" w:hAnsi="Times New Roman"/>
        </w:rPr>
        <w:t>Use this checklist to ensure that you have covered all the areas needed for success in your exams. The following topics will be covered in class. However, it will be your responsibility to make sure that you catch up with any topics you miss and to actively revise the different areas.</w:t>
      </w:r>
    </w:p>
    <w:tbl>
      <w:tblPr>
        <w:tblW w:w="10916"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4962"/>
        <w:gridCol w:w="1710"/>
        <w:gridCol w:w="1254"/>
        <w:gridCol w:w="2990"/>
      </w:tblGrid>
      <w:tr w:rsidR="006E2B4A" w:rsidRPr="006B7DE0" w14:paraId="2CCEA4C9" w14:textId="77777777" w:rsidTr="006E2B4A">
        <w:tc>
          <w:tcPr>
            <w:tcW w:w="4962" w:type="dxa"/>
            <w:shd w:val="clear" w:color="auto" w:fill="B6DDE8"/>
          </w:tcPr>
          <w:p w14:paraId="2F68243A" w14:textId="77777777" w:rsidR="006E2B4A" w:rsidRPr="006B7DE0" w:rsidRDefault="006E2B4A" w:rsidP="00D65673">
            <w:pPr>
              <w:rPr>
                <w:rFonts w:ascii="Times New Roman" w:eastAsia="Calibri" w:hAnsi="Times New Roman"/>
                <w:b/>
              </w:rPr>
            </w:pPr>
          </w:p>
          <w:p w14:paraId="4942941F" w14:textId="77777777" w:rsidR="006E2B4A" w:rsidRPr="006B7DE0" w:rsidRDefault="006E2B4A" w:rsidP="00D65673">
            <w:pPr>
              <w:jc w:val="center"/>
              <w:rPr>
                <w:rFonts w:ascii="Times New Roman" w:eastAsia="Calibri" w:hAnsi="Times New Roman"/>
                <w:b/>
              </w:rPr>
            </w:pPr>
            <w:r w:rsidRPr="006B7DE0">
              <w:rPr>
                <w:rFonts w:ascii="Times New Roman" w:eastAsia="Calibri" w:hAnsi="Times New Roman"/>
                <w:b/>
              </w:rPr>
              <w:t>Topic area</w:t>
            </w:r>
          </w:p>
        </w:tc>
        <w:tc>
          <w:tcPr>
            <w:tcW w:w="1710" w:type="dxa"/>
            <w:shd w:val="clear" w:color="auto" w:fill="B6DDE8"/>
          </w:tcPr>
          <w:p w14:paraId="1A3934F1" w14:textId="77777777" w:rsidR="006E2B4A" w:rsidRPr="006B7DE0" w:rsidRDefault="006E2B4A" w:rsidP="00D65673">
            <w:pPr>
              <w:jc w:val="center"/>
              <w:rPr>
                <w:rFonts w:ascii="Times New Roman" w:eastAsia="Calibri" w:hAnsi="Times New Roman"/>
                <w:b/>
              </w:rPr>
            </w:pPr>
            <w:r w:rsidRPr="006B7DE0">
              <w:rPr>
                <w:rFonts w:ascii="Times New Roman" w:eastAsia="Calibri" w:hAnsi="Times New Roman"/>
                <w:b/>
              </w:rPr>
              <w:t>Covered in class</w:t>
            </w:r>
          </w:p>
        </w:tc>
        <w:tc>
          <w:tcPr>
            <w:tcW w:w="1254" w:type="dxa"/>
            <w:shd w:val="clear" w:color="auto" w:fill="B6DDE8"/>
          </w:tcPr>
          <w:p w14:paraId="1FB0C690" w14:textId="77777777" w:rsidR="006E2B4A" w:rsidRPr="006B7DE0" w:rsidRDefault="006E2B4A" w:rsidP="00D65673">
            <w:pPr>
              <w:rPr>
                <w:rFonts w:ascii="Times New Roman" w:eastAsia="Calibri" w:hAnsi="Times New Roman"/>
                <w:b/>
              </w:rPr>
            </w:pPr>
            <w:r w:rsidRPr="006B7DE0">
              <w:rPr>
                <w:rFonts w:ascii="Times New Roman" w:eastAsia="Calibri" w:hAnsi="Times New Roman"/>
                <w:b/>
              </w:rPr>
              <w:t>Revised 1</w:t>
            </w:r>
          </w:p>
        </w:tc>
        <w:tc>
          <w:tcPr>
            <w:tcW w:w="2990" w:type="dxa"/>
            <w:shd w:val="clear" w:color="auto" w:fill="B6DDE8"/>
          </w:tcPr>
          <w:p w14:paraId="5BBE40F4" w14:textId="77777777" w:rsidR="006E2B4A" w:rsidRPr="006B7DE0" w:rsidRDefault="006E2B4A" w:rsidP="00D65673">
            <w:pPr>
              <w:ind w:left="-12" w:right="-328" w:firstLine="12"/>
              <w:rPr>
                <w:rFonts w:ascii="Times New Roman" w:eastAsia="Calibri" w:hAnsi="Times New Roman"/>
                <w:b/>
              </w:rPr>
            </w:pPr>
            <w:r w:rsidRPr="006B7DE0">
              <w:rPr>
                <w:rFonts w:ascii="Times New Roman" w:eastAsia="Calibri" w:hAnsi="Times New Roman"/>
                <w:b/>
              </w:rPr>
              <w:t>Revised 2</w:t>
            </w:r>
          </w:p>
        </w:tc>
      </w:tr>
      <w:tr w:rsidR="006E2B4A" w:rsidRPr="006B7DE0" w14:paraId="73D2C6C1" w14:textId="77777777" w:rsidTr="006E2B4A">
        <w:tc>
          <w:tcPr>
            <w:tcW w:w="10916" w:type="dxa"/>
            <w:gridSpan w:val="4"/>
            <w:shd w:val="clear" w:color="auto" w:fill="DAEEF3"/>
          </w:tcPr>
          <w:p w14:paraId="0E948C30" w14:textId="77777777" w:rsidR="006E2B4A" w:rsidRPr="00511C5C" w:rsidRDefault="00C478F0" w:rsidP="00632DAA">
            <w:pPr>
              <w:pStyle w:val="Default"/>
              <w:rPr>
                <w:rFonts w:ascii="Times New Roman" w:hAnsi="Times New Roman" w:cs="Times New Roman"/>
                <w:b/>
              </w:rPr>
            </w:pPr>
            <w:r w:rsidRPr="00511C5C">
              <w:rPr>
                <w:rFonts w:ascii="Times New Roman" w:hAnsi="Times New Roman" w:cs="Times New Roman"/>
                <w:b/>
              </w:rPr>
              <w:t>1. Social inequality and difference</w:t>
            </w:r>
          </w:p>
        </w:tc>
      </w:tr>
      <w:tr w:rsidR="00C478F0" w:rsidRPr="006B7DE0" w14:paraId="6103C382" w14:textId="77777777" w:rsidTr="006E2B4A">
        <w:tc>
          <w:tcPr>
            <w:tcW w:w="4962" w:type="dxa"/>
          </w:tcPr>
          <w:p w14:paraId="781FD897" w14:textId="77777777" w:rsidR="00C478F0" w:rsidRPr="00511C5C" w:rsidRDefault="00C478F0" w:rsidP="00C478F0">
            <w:pPr>
              <w:pStyle w:val="Default"/>
              <w:rPr>
                <w:sz w:val="20"/>
                <w:szCs w:val="20"/>
              </w:rPr>
            </w:pPr>
            <w:r w:rsidRPr="00511C5C">
              <w:rPr>
                <w:sz w:val="20"/>
                <w:szCs w:val="20"/>
              </w:rPr>
              <w:t xml:space="preserve">Patterns and trends of inequality and difference related to: </w:t>
            </w:r>
          </w:p>
          <w:p w14:paraId="78C50A12" w14:textId="77777777" w:rsidR="00C478F0" w:rsidRPr="00511C5C" w:rsidRDefault="00C478F0" w:rsidP="00C478F0">
            <w:pPr>
              <w:pStyle w:val="Default"/>
              <w:rPr>
                <w:sz w:val="20"/>
                <w:szCs w:val="20"/>
              </w:rPr>
            </w:pPr>
            <w:r w:rsidRPr="00511C5C">
              <w:rPr>
                <w:sz w:val="20"/>
                <w:szCs w:val="20"/>
              </w:rPr>
              <w:t xml:space="preserve">• social class; </w:t>
            </w:r>
          </w:p>
          <w:p w14:paraId="3A204010" w14:textId="77777777" w:rsidR="00C478F0" w:rsidRPr="00511C5C" w:rsidRDefault="00C478F0" w:rsidP="00C478F0">
            <w:pPr>
              <w:pStyle w:val="Default"/>
              <w:rPr>
                <w:sz w:val="20"/>
                <w:szCs w:val="20"/>
              </w:rPr>
            </w:pPr>
            <w:r w:rsidRPr="00511C5C">
              <w:rPr>
                <w:sz w:val="20"/>
                <w:szCs w:val="20"/>
              </w:rPr>
              <w:t xml:space="preserve">• gender; </w:t>
            </w:r>
          </w:p>
          <w:p w14:paraId="02467278" w14:textId="77777777" w:rsidR="00C478F0" w:rsidRPr="00511C5C" w:rsidRDefault="00C478F0" w:rsidP="00C478F0">
            <w:pPr>
              <w:pStyle w:val="Default"/>
              <w:rPr>
                <w:sz w:val="20"/>
                <w:szCs w:val="20"/>
              </w:rPr>
            </w:pPr>
            <w:r w:rsidRPr="00511C5C">
              <w:rPr>
                <w:sz w:val="20"/>
                <w:szCs w:val="20"/>
              </w:rPr>
              <w:t xml:space="preserve">• ethnicity; </w:t>
            </w:r>
          </w:p>
          <w:p w14:paraId="63A21219" w14:textId="77777777" w:rsidR="00C478F0" w:rsidRPr="00511C5C" w:rsidRDefault="00C478F0" w:rsidP="00C478F0">
            <w:pPr>
              <w:pStyle w:val="Default"/>
              <w:rPr>
                <w:sz w:val="20"/>
                <w:szCs w:val="20"/>
              </w:rPr>
            </w:pPr>
            <w:r w:rsidRPr="00511C5C">
              <w:rPr>
                <w:sz w:val="20"/>
                <w:szCs w:val="20"/>
              </w:rPr>
              <w:t xml:space="preserve">• age. </w:t>
            </w:r>
          </w:p>
        </w:tc>
        <w:tc>
          <w:tcPr>
            <w:tcW w:w="1710" w:type="dxa"/>
          </w:tcPr>
          <w:p w14:paraId="5B9D453D" w14:textId="77777777" w:rsidR="00C478F0" w:rsidRPr="00511C5C" w:rsidRDefault="00C478F0" w:rsidP="00D65673">
            <w:pPr>
              <w:rPr>
                <w:rFonts w:ascii="Times New Roman" w:eastAsia="Calibri" w:hAnsi="Times New Roman"/>
                <w:sz w:val="20"/>
                <w:szCs w:val="20"/>
              </w:rPr>
            </w:pPr>
          </w:p>
        </w:tc>
        <w:tc>
          <w:tcPr>
            <w:tcW w:w="1254" w:type="dxa"/>
          </w:tcPr>
          <w:p w14:paraId="3B76252E" w14:textId="77777777" w:rsidR="00C478F0" w:rsidRPr="00511C5C" w:rsidRDefault="00C478F0" w:rsidP="00D65673">
            <w:pPr>
              <w:rPr>
                <w:rFonts w:ascii="Times New Roman" w:eastAsia="Calibri" w:hAnsi="Times New Roman"/>
                <w:sz w:val="20"/>
                <w:szCs w:val="20"/>
              </w:rPr>
            </w:pPr>
          </w:p>
        </w:tc>
        <w:tc>
          <w:tcPr>
            <w:tcW w:w="2990" w:type="dxa"/>
          </w:tcPr>
          <w:p w14:paraId="3E7D1E64" w14:textId="77777777" w:rsidR="00C478F0" w:rsidRPr="00511C5C" w:rsidRDefault="00C478F0" w:rsidP="00D65673">
            <w:pPr>
              <w:rPr>
                <w:rFonts w:ascii="Times New Roman" w:eastAsia="Calibri" w:hAnsi="Times New Roman"/>
                <w:sz w:val="20"/>
                <w:szCs w:val="20"/>
              </w:rPr>
            </w:pPr>
          </w:p>
        </w:tc>
      </w:tr>
      <w:tr w:rsidR="00C478F0" w:rsidRPr="006B7DE0" w14:paraId="18538DDB" w14:textId="77777777" w:rsidTr="006E2B4A">
        <w:tc>
          <w:tcPr>
            <w:tcW w:w="4962" w:type="dxa"/>
          </w:tcPr>
          <w:p w14:paraId="6870429E" w14:textId="77777777" w:rsidR="00C478F0" w:rsidRPr="00511C5C" w:rsidRDefault="00C478F0" w:rsidP="00C478F0">
            <w:pPr>
              <w:pStyle w:val="Default"/>
              <w:rPr>
                <w:sz w:val="20"/>
                <w:szCs w:val="20"/>
              </w:rPr>
            </w:pPr>
            <w:r w:rsidRPr="00511C5C">
              <w:rPr>
                <w:sz w:val="20"/>
                <w:szCs w:val="20"/>
              </w:rPr>
              <w:t xml:space="preserve">Theoretical explanations of the patterns and trends: </w:t>
            </w:r>
          </w:p>
          <w:p w14:paraId="35B892EC" w14:textId="77777777" w:rsidR="00C478F0" w:rsidRPr="00511C5C" w:rsidRDefault="00C478F0" w:rsidP="00C478F0">
            <w:pPr>
              <w:pStyle w:val="Default"/>
              <w:rPr>
                <w:sz w:val="20"/>
                <w:szCs w:val="20"/>
              </w:rPr>
            </w:pPr>
            <w:r w:rsidRPr="00511C5C">
              <w:rPr>
                <w:sz w:val="20"/>
                <w:szCs w:val="20"/>
              </w:rPr>
              <w:t xml:space="preserve">• functionalist; </w:t>
            </w:r>
          </w:p>
          <w:p w14:paraId="04E93451" w14:textId="77777777" w:rsidR="00C478F0" w:rsidRPr="00511C5C" w:rsidRDefault="00C478F0" w:rsidP="00C478F0">
            <w:pPr>
              <w:pStyle w:val="Default"/>
              <w:rPr>
                <w:sz w:val="20"/>
                <w:szCs w:val="20"/>
              </w:rPr>
            </w:pPr>
            <w:r w:rsidRPr="00511C5C">
              <w:rPr>
                <w:sz w:val="20"/>
                <w:szCs w:val="20"/>
              </w:rPr>
              <w:t xml:space="preserve">• Marxist; </w:t>
            </w:r>
          </w:p>
          <w:p w14:paraId="0188ACF8" w14:textId="77777777" w:rsidR="00C478F0" w:rsidRPr="00511C5C" w:rsidRDefault="00C478F0" w:rsidP="00C478F0">
            <w:pPr>
              <w:pStyle w:val="Default"/>
              <w:rPr>
                <w:sz w:val="20"/>
                <w:szCs w:val="20"/>
              </w:rPr>
            </w:pPr>
            <w:r w:rsidRPr="00511C5C">
              <w:rPr>
                <w:sz w:val="20"/>
                <w:szCs w:val="20"/>
              </w:rPr>
              <w:t xml:space="preserve">• Neo-Marxist; </w:t>
            </w:r>
          </w:p>
          <w:p w14:paraId="736059A4" w14:textId="77777777" w:rsidR="00C478F0" w:rsidRPr="00511C5C" w:rsidRDefault="00C478F0" w:rsidP="00C478F0">
            <w:pPr>
              <w:pStyle w:val="Default"/>
              <w:rPr>
                <w:sz w:val="20"/>
                <w:szCs w:val="20"/>
              </w:rPr>
            </w:pPr>
            <w:r w:rsidRPr="00511C5C">
              <w:rPr>
                <w:sz w:val="20"/>
                <w:szCs w:val="20"/>
              </w:rPr>
              <w:t xml:space="preserve">• feminist; </w:t>
            </w:r>
          </w:p>
          <w:p w14:paraId="525BE795" w14:textId="77777777" w:rsidR="00C478F0" w:rsidRPr="00511C5C" w:rsidRDefault="00C478F0" w:rsidP="00C478F0">
            <w:pPr>
              <w:pStyle w:val="Default"/>
              <w:rPr>
                <w:sz w:val="20"/>
                <w:szCs w:val="20"/>
              </w:rPr>
            </w:pPr>
            <w:r w:rsidRPr="00511C5C">
              <w:rPr>
                <w:sz w:val="20"/>
                <w:szCs w:val="20"/>
              </w:rPr>
              <w:t xml:space="preserve">• Weberian; </w:t>
            </w:r>
          </w:p>
          <w:p w14:paraId="2AD02003" w14:textId="77777777" w:rsidR="00C478F0" w:rsidRPr="00511C5C" w:rsidRDefault="00C478F0" w:rsidP="00C478F0">
            <w:pPr>
              <w:pStyle w:val="Default"/>
              <w:rPr>
                <w:sz w:val="20"/>
                <w:szCs w:val="20"/>
              </w:rPr>
            </w:pPr>
            <w:r w:rsidRPr="00511C5C">
              <w:rPr>
                <w:sz w:val="20"/>
                <w:szCs w:val="20"/>
              </w:rPr>
              <w:t>• post-modern views</w:t>
            </w:r>
          </w:p>
        </w:tc>
        <w:tc>
          <w:tcPr>
            <w:tcW w:w="1710" w:type="dxa"/>
          </w:tcPr>
          <w:p w14:paraId="0D68E79D" w14:textId="77777777" w:rsidR="00C478F0" w:rsidRPr="00511C5C" w:rsidRDefault="00C478F0" w:rsidP="00D65673">
            <w:pPr>
              <w:rPr>
                <w:rFonts w:ascii="Times New Roman" w:eastAsia="Calibri" w:hAnsi="Times New Roman"/>
                <w:sz w:val="20"/>
                <w:szCs w:val="20"/>
              </w:rPr>
            </w:pPr>
          </w:p>
        </w:tc>
        <w:tc>
          <w:tcPr>
            <w:tcW w:w="1254" w:type="dxa"/>
          </w:tcPr>
          <w:p w14:paraId="0C8A2152" w14:textId="77777777" w:rsidR="00C478F0" w:rsidRPr="00511C5C" w:rsidRDefault="00C478F0" w:rsidP="00D65673">
            <w:pPr>
              <w:rPr>
                <w:rFonts w:ascii="Times New Roman" w:eastAsia="Calibri" w:hAnsi="Times New Roman"/>
                <w:sz w:val="20"/>
                <w:szCs w:val="20"/>
              </w:rPr>
            </w:pPr>
          </w:p>
        </w:tc>
        <w:tc>
          <w:tcPr>
            <w:tcW w:w="2990" w:type="dxa"/>
          </w:tcPr>
          <w:p w14:paraId="2A2CEB81" w14:textId="77777777" w:rsidR="00C478F0" w:rsidRPr="00511C5C" w:rsidRDefault="00C478F0" w:rsidP="00D65673">
            <w:pPr>
              <w:rPr>
                <w:rFonts w:ascii="Times New Roman" w:eastAsia="Calibri" w:hAnsi="Times New Roman"/>
                <w:sz w:val="20"/>
                <w:szCs w:val="20"/>
              </w:rPr>
            </w:pPr>
          </w:p>
        </w:tc>
      </w:tr>
      <w:tr w:rsidR="00C478F0" w:rsidRPr="006B7DE0" w14:paraId="53EADA75" w14:textId="77777777" w:rsidTr="006E2B4A">
        <w:tc>
          <w:tcPr>
            <w:tcW w:w="4962" w:type="dxa"/>
          </w:tcPr>
          <w:p w14:paraId="5875C3CD" w14:textId="77777777" w:rsidR="00C478F0" w:rsidRPr="00511C5C" w:rsidRDefault="00C478F0" w:rsidP="00C478F0">
            <w:pPr>
              <w:pStyle w:val="Default"/>
              <w:rPr>
                <w:sz w:val="20"/>
                <w:szCs w:val="20"/>
              </w:rPr>
            </w:pPr>
            <w:r w:rsidRPr="00511C5C">
              <w:rPr>
                <w:sz w:val="20"/>
                <w:szCs w:val="20"/>
              </w:rPr>
              <w:t xml:space="preserve">Sociological explanations of the changing class structure. </w:t>
            </w:r>
          </w:p>
        </w:tc>
        <w:tc>
          <w:tcPr>
            <w:tcW w:w="1710" w:type="dxa"/>
          </w:tcPr>
          <w:p w14:paraId="38E586FC" w14:textId="77777777" w:rsidR="00C478F0" w:rsidRPr="00511C5C" w:rsidRDefault="00C478F0" w:rsidP="00D65673">
            <w:pPr>
              <w:rPr>
                <w:rFonts w:ascii="Times New Roman" w:eastAsia="Calibri" w:hAnsi="Times New Roman"/>
                <w:sz w:val="20"/>
                <w:szCs w:val="20"/>
              </w:rPr>
            </w:pPr>
          </w:p>
        </w:tc>
        <w:tc>
          <w:tcPr>
            <w:tcW w:w="1254" w:type="dxa"/>
          </w:tcPr>
          <w:p w14:paraId="58784085" w14:textId="77777777" w:rsidR="00C478F0" w:rsidRPr="00511C5C" w:rsidRDefault="00C478F0" w:rsidP="00D65673">
            <w:pPr>
              <w:rPr>
                <w:rFonts w:ascii="Times New Roman" w:eastAsia="Calibri" w:hAnsi="Times New Roman"/>
                <w:sz w:val="20"/>
                <w:szCs w:val="20"/>
              </w:rPr>
            </w:pPr>
          </w:p>
        </w:tc>
        <w:tc>
          <w:tcPr>
            <w:tcW w:w="2990" w:type="dxa"/>
          </w:tcPr>
          <w:p w14:paraId="18501964" w14:textId="77777777" w:rsidR="00C478F0" w:rsidRPr="00511C5C" w:rsidRDefault="00C478F0" w:rsidP="00D65673">
            <w:pPr>
              <w:rPr>
                <w:rFonts w:ascii="Times New Roman" w:eastAsia="Calibri" w:hAnsi="Times New Roman"/>
                <w:sz w:val="20"/>
                <w:szCs w:val="20"/>
              </w:rPr>
            </w:pPr>
          </w:p>
        </w:tc>
      </w:tr>
      <w:tr w:rsidR="00C478F0" w:rsidRPr="006B7DE0" w14:paraId="7884A192" w14:textId="77777777" w:rsidTr="006E2B4A">
        <w:tc>
          <w:tcPr>
            <w:tcW w:w="4962" w:type="dxa"/>
          </w:tcPr>
          <w:p w14:paraId="73CB9F21" w14:textId="77777777" w:rsidR="00C478F0" w:rsidRPr="00511C5C" w:rsidRDefault="00C478F0" w:rsidP="00C478F0">
            <w:pPr>
              <w:pStyle w:val="Default"/>
              <w:rPr>
                <w:sz w:val="20"/>
                <w:szCs w:val="20"/>
              </w:rPr>
            </w:pPr>
            <w:r w:rsidRPr="00511C5C">
              <w:rPr>
                <w:sz w:val="20"/>
                <w:szCs w:val="20"/>
              </w:rPr>
              <w:t xml:space="preserve">Explanations for inequality through the intersection of: </w:t>
            </w:r>
          </w:p>
          <w:p w14:paraId="65A4B304" w14:textId="77777777" w:rsidR="00C478F0" w:rsidRPr="00511C5C" w:rsidRDefault="00C478F0" w:rsidP="00C478F0">
            <w:pPr>
              <w:pStyle w:val="Default"/>
              <w:rPr>
                <w:sz w:val="20"/>
                <w:szCs w:val="20"/>
              </w:rPr>
            </w:pPr>
            <w:r w:rsidRPr="00511C5C">
              <w:rPr>
                <w:sz w:val="20"/>
                <w:szCs w:val="20"/>
              </w:rPr>
              <w:t xml:space="preserve">• class; </w:t>
            </w:r>
          </w:p>
          <w:p w14:paraId="7A748E5F" w14:textId="77777777" w:rsidR="00C478F0" w:rsidRPr="00511C5C" w:rsidRDefault="00C478F0" w:rsidP="00C478F0">
            <w:pPr>
              <w:pStyle w:val="Default"/>
              <w:rPr>
                <w:sz w:val="20"/>
                <w:szCs w:val="20"/>
              </w:rPr>
            </w:pPr>
            <w:r w:rsidRPr="00511C5C">
              <w:rPr>
                <w:sz w:val="20"/>
                <w:szCs w:val="20"/>
              </w:rPr>
              <w:t xml:space="preserve">• gender; </w:t>
            </w:r>
          </w:p>
          <w:p w14:paraId="6486BE42" w14:textId="77777777" w:rsidR="00C478F0" w:rsidRPr="00511C5C" w:rsidRDefault="00C478F0" w:rsidP="00C478F0">
            <w:pPr>
              <w:pStyle w:val="Default"/>
              <w:rPr>
                <w:sz w:val="20"/>
                <w:szCs w:val="20"/>
              </w:rPr>
            </w:pPr>
            <w:r w:rsidRPr="00511C5C">
              <w:rPr>
                <w:sz w:val="20"/>
                <w:szCs w:val="20"/>
              </w:rPr>
              <w:t xml:space="preserve">• ethnicity; </w:t>
            </w:r>
          </w:p>
          <w:p w14:paraId="203DCB9C" w14:textId="77777777" w:rsidR="00C478F0" w:rsidRPr="00511C5C" w:rsidRDefault="00C478F0" w:rsidP="00C478F0">
            <w:pPr>
              <w:pStyle w:val="Default"/>
              <w:rPr>
                <w:sz w:val="20"/>
                <w:szCs w:val="20"/>
              </w:rPr>
            </w:pPr>
            <w:r w:rsidRPr="00511C5C">
              <w:rPr>
                <w:sz w:val="20"/>
                <w:szCs w:val="20"/>
              </w:rPr>
              <w:t xml:space="preserve">• age. </w:t>
            </w:r>
          </w:p>
        </w:tc>
        <w:tc>
          <w:tcPr>
            <w:tcW w:w="1710" w:type="dxa"/>
          </w:tcPr>
          <w:p w14:paraId="7DB8ED25" w14:textId="77777777" w:rsidR="00C478F0" w:rsidRPr="00511C5C" w:rsidRDefault="00C478F0" w:rsidP="00D65673">
            <w:pPr>
              <w:rPr>
                <w:rFonts w:ascii="Times New Roman" w:eastAsia="Calibri" w:hAnsi="Times New Roman"/>
                <w:sz w:val="20"/>
                <w:szCs w:val="20"/>
              </w:rPr>
            </w:pPr>
          </w:p>
        </w:tc>
        <w:tc>
          <w:tcPr>
            <w:tcW w:w="1254" w:type="dxa"/>
          </w:tcPr>
          <w:p w14:paraId="3A6E9D9A" w14:textId="77777777" w:rsidR="00C478F0" w:rsidRPr="00511C5C" w:rsidRDefault="00C478F0" w:rsidP="00D65673">
            <w:pPr>
              <w:rPr>
                <w:rFonts w:ascii="Times New Roman" w:eastAsia="Calibri" w:hAnsi="Times New Roman"/>
                <w:sz w:val="20"/>
                <w:szCs w:val="20"/>
              </w:rPr>
            </w:pPr>
          </w:p>
        </w:tc>
        <w:tc>
          <w:tcPr>
            <w:tcW w:w="2990" w:type="dxa"/>
          </w:tcPr>
          <w:p w14:paraId="40A0EBD8" w14:textId="77777777" w:rsidR="00C478F0" w:rsidRPr="00511C5C" w:rsidRDefault="00C478F0" w:rsidP="00D65673">
            <w:pPr>
              <w:rPr>
                <w:rFonts w:ascii="Times New Roman" w:eastAsia="Calibri" w:hAnsi="Times New Roman"/>
                <w:sz w:val="20"/>
                <w:szCs w:val="20"/>
              </w:rPr>
            </w:pPr>
          </w:p>
        </w:tc>
      </w:tr>
      <w:tr w:rsidR="00C478F0" w:rsidRPr="006B7DE0" w14:paraId="4C4457FF" w14:textId="77777777" w:rsidTr="00D65673">
        <w:tc>
          <w:tcPr>
            <w:tcW w:w="10916" w:type="dxa"/>
            <w:gridSpan w:val="4"/>
            <w:shd w:val="clear" w:color="auto" w:fill="DAEEF3"/>
          </w:tcPr>
          <w:p w14:paraId="133751A8" w14:textId="77777777" w:rsidR="00C478F0" w:rsidRPr="00511C5C" w:rsidRDefault="00C478F0" w:rsidP="00D65673">
            <w:pPr>
              <w:pStyle w:val="Default"/>
              <w:rPr>
                <w:rFonts w:ascii="Times New Roman" w:hAnsi="Times New Roman" w:cs="Times New Roman"/>
                <w:b/>
              </w:rPr>
            </w:pPr>
            <w:r w:rsidRPr="00511C5C">
              <w:rPr>
                <w:rFonts w:ascii="Times New Roman" w:hAnsi="Times New Roman" w:cs="Times New Roman"/>
                <w:b/>
              </w:rPr>
              <w:t xml:space="preserve">2. Exploring sociological research into social inequality and difference </w:t>
            </w:r>
          </w:p>
        </w:tc>
      </w:tr>
      <w:tr w:rsidR="00C478F0" w:rsidRPr="006B7DE0" w14:paraId="178A303D" w14:textId="77777777" w:rsidTr="00D65673">
        <w:tc>
          <w:tcPr>
            <w:tcW w:w="4962" w:type="dxa"/>
          </w:tcPr>
          <w:p w14:paraId="74F0B3CA" w14:textId="77777777" w:rsidR="00C478F0" w:rsidRPr="00511C5C" w:rsidRDefault="00C478F0" w:rsidP="00C478F0">
            <w:pPr>
              <w:pStyle w:val="Default"/>
              <w:rPr>
                <w:sz w:val="20"/>
                <w:szCs w:val="20"/>
              </w:rPr>
            </w:pPr>
            <w:r w:rsidRPr="00511C5C">
              <w:rPr>
                <w:sz w:val="20"/>
                <w:szCs w:val="20"/>
              </w:rPr>
              <w:t xml:space="preserve">All concepts from Section 3.1: AS Unit G671: </w:t>
            </w:r>
            <w:r w:rsidRPr="00511C5C">
              <w:rPr>
                <w:i/>
                <w:iCs/>
                <w:sz w:val="20"/>
                <w:szCs w:val="20"/>
              </w:rPr>
              <w:t xml:space="preserve">Exploring socialisation, culture and identity </w:t>
            </w:r>
            <w:r w:rsidRPr="00511C5C">
              <w:rPr>
                <w:sz w:val="20"/>
                <w:szCs w:val="20"/>
              </w:rPr>
              <w:t xml:space="preserve">‘Exploring …’ topics. </w:t>
            </w:r>
          </w:p>
          <w:p w14:paraId="512E4AA3" w14:textId="77777777" w:rsidR="00C478F0" w:rsidRPr="00511C5C" w:rsidRDefault="00C478F0" w:rsidP="00C478F0">
            <w:pPr>
              <w:pStyle w:val="Default"/>
              <w:rPr>
                <w:sz w:val="20"/>
                <w:szCs w:val="20"/>
              </w:rPr>
            </w:pPr>
            <w:r w:rsidRPr="00511C5C">
              <w:rPr>
                <w:sz w:val="20"/>
                <w:szCs w:val="20"/>
              </w:rPr>
              <w:t xml:space="preserve">Also the following concepts: </w:t>
            </w:r>
          </w:p>
          <w:p w14:paraId="77F22B99" w14:textId="77777777" w:rsidR="00C478F0" w:rsidRPr="00511C5C" w:rsidRDefault="00C478F0" w:rsidP="00C478F0">
            <w:pPr>
              <w:pStyle w:val="Default"/>
              <w:rPr>
                <w:sz w:val="20"/>
                <w:szCs w:val="20"/>
              </w:rPr>
            </w:pPr>
            <w:r w:rsidRPr="00511C5C">
              <w:rPr>
                <w:sz w:val="20"/>
                <w:szCs w:val="20"/>
              </w:rPr>
              <w:t xml:space="preserve">• longitudinal studies; </w:t>
            </w:r>
          </w:p>
          <w:p w14:paraId="207F8B5D" w14:textId="77777777" w:rsidR="00C478F0" w:rsidRPr="00511C5C" w:rsidRDefault="00C478F0" w:rsidP="00C478F0">
            <w:pPr>
              <w:pStyle w:val="Default"/>
              <w:rPr>
                <w:sz w:val="20"/>
                <w:szCs w:val="20"/>
              </w:rPr>
            </w:pPr>
            <w:r w:rsidRPr="00511C5C">
              <w:rPr>
                <w:sz w:val="20"/>
                <w:szCs w:val="20"/>
              </w:rPr>
              <w:t xml:space="preserve">• case studies; </w:t>
            </w:r>
          </w:p>
          <w:p w14:paraId="58122F26" w14:textId="77777777" w:rsidR="00C478F0" w:rsidRPr="00511C5C" w:rsidRDefault="00C478F0" w:rsidP="00C478F0">
            <w:pPr>
              <w:pStyle w:val="Default"/>
              <w:rPr>
                <w:sz w:val="20"/>
                <w:szCs w:val="20"/>
              </w:rPr>
            </w:pPr>
            <w:r w:rsidRPr="00511C5C">
              <w:rPr>
                <w:sz w:val="20"/>
                <w:szCs w:val="20"/>
              </w:rPr>
              <w:t xml:space="preserve">• pilot studies; </w:t>
            </w:r>
          </w:p>
          <w:p w14:paraId="4CA79FC4" w14:textId="77777777" w:rsidR="00C478F0" w:rsidRPr="00511C5C" w:rsidRDefault="00C478F0" w:rsidP="00C478F0">
            <w:pPr>
              <w:pStyle w:val="Default"/>
              <w:rPr>
                <w:sz w:val="20"/>
                <w:szCs w:val="20"/>
              </w:rPr>
            </w:pPr>
            <w:r w:rsidRPr="00511C5C">
              <w:rPr>
                <w:sz w:val="20"/>
                <w:szCs w:val="20"/>
              </w:rPr>
              <w:t xml:space="preserve">• value freedom; </w:t>
            </w:r>
          </w:p>
          <w:p w14:paraId="55A90FAC" w14:textId="77777777" w:rsidR="00C478F0" w:rsidRPr="00511C5C" w:rsidRDefault="00C478F0" w:rsidP="00C478F0">
            <w:pPr>
              <w:pStyle w:val="Default"/>
              <w:rPr>
                <w:sz w:val="20"/>
                <w:szCs w:val="20"/>
              </w:rPr>
            </w:pPr>
            <w:r w:rsidRPr="00511C5C">
              <w:rPr>
                <w:sz w:val="20"/>
                <w:szCs w:val="20"/>
              </w:rPr>
              <w:t xml:space="preserve">• objectivity; </w:t>
            </w:r>
          </w:p>
          <w:p w14:paraId="51CB21C9" w14:textId="77777777" w:rsidR="00C478F0" w:rsidRPr="00511C5C" w:rsidRDefault="00C478F0" w:rsidP="00C478F0">
            <w:pPr>
              <w:pStyle w:val="Default"/>
              <w:rPr>
                <w:sz w:val="20"/>
                <w:szCs w:val="20"/>
              </w:rPr>
            </w:pPr>
            <w:r w:rsidRPr="00511C5C">
              <w:rPr>
                <w:sz w:val="20"/>
                <w:szCs w:val="20"/>
              </w:rPr>
              <w:t xml:space="preserve">• subjectivity; </w:t>
            </w:r>
          </w:p>
          <w:p w14:paraId="78DBEFDC" w14:textId="77777777" w:rsidR="00C478F0" w:rsidRPr="00511C5C" w:rsidRDefault="00C478F0" w:rsidP="00C478F0">
            <w:pPr>
              <w:pStyle w:val="Default"/>
              <w:rPr>
                <w:sz w:val="20"/>
                <w:szCs w:val="20"/>
              </w:rPr>
            </w:pPr>
            <w:r w:rsidRPr="00511C5C">
              <w:rPr>
                <w:sz w:val="20"/>
                <w:szCs w:val="20"/>
              </w:rPr>
              <w:t xml:space="preserve">• respondent validation; </w:t>
            </w:r>
          </w:p>
          <w:p w14:paraId="288DD4F1" w14:textId="77777777" w:rsidR="00C478F0" w:rsidRPr="00511C5C" w:rsidRDefault="00C478F0" w:rsidP="00C478F0">
            <w:pPr>
              <w:pStyle w:val="Default"/>
              <w:rPr>
                <w:sz w:val="20"/>
                <w:szCs w:val="20"/>
              </w:rPr>
            </w:pPr>
            <w:r w:rsidRPr="00511C5C">
              <w:rPr>
                <w:sz w:val="20"/>
                <w:szCs w:val="20"/>
              </w:rPr>
              <w:t xml:space="preserve">• researcher imposition; </w:t>
            </w:r>
          </w:p>
          <w:p w14:paraId="642EEB81" w14:textId="77777777" w:rsidR="00C478F0" w:rsidRPr="00511C5C" w:rsidRDefault="00C478F0" w:rsidP="00C478F0">
            <w:pPr>
              <w:pStyle w:val="Default"/>
              <w:rPr>
                <w:sz w:val="20"/>
                <w:szCs w:val="20"/>
              </w:rPr>
            </w:pPr>
            <w:r w:rsidRPr="00511C5C">
              <w:rPr>
                <w:sz w:val="20"/>
                <w:szCs w:val="20"/>
              </w:rPr>
              <w:t xml:space="preserve">• reflexivity; </w:t>
            </w:r>
          </w:p>
          <w:p w14:paraId="770D986A" w14:textId="77777777" w:rsidR="00C478F0" w:rsidRPr="00511C5C" w:rsidRDefault="00C478F0" w:rsidP="00C478F0">
            <w:pPr>
              <w:pStyle w:val="Default"/>
              <w:rPr>
                <w:sz w:val="20"/>
                <w:szCs w:val="20"/>
              </w:rPr>
            </w:pPr>
            <w:r w:rsidRPr="00511C5C">
              <w:rPr>
                <w:sz w:val="20"/>
                <w:szCs w:val="20"/>
              </w:rPr>
              <w:t xml:space="preserve">• sampling techniques: </w:t>
            </w:r>
          </w:p>
          <w:p w14:paraId="5F9D1191" w14:textId="77777777" w:rsidR="00C478F0" w:rsidRPr="00511C5C" w:rsidRDefault="00C478F0" w:rsidP="00C478F0">
            <w:pPr>
              <w:pStyle w:val="Default"/>
              <w:rPr>
                <w:sz w:val="20"/>
                <w:szCs w:val="20"/>
              </w:rPr>
            </w:pPr>
            <w:r w:rsidRPr="00511C5C">
              <w:rPr>
                <w:rFonts w:ascii="Wingdings" w:hAnsi="Wingdings" w:cs="Wingdings"/>
                <w:sz w:val="20"/>
                <w:szCs w:val="20"/>
              </w:rPr>
              <w:t></w:t>
            </w:r>
            <w:r w:rsidRPr="00511C5C">
              <w:rPr>
                <w:rFonts w:ascii="Wingdings" w:hAnsi="Wingdings" w:cs="Wingdings"/>
                <w:sz w:val="20"/>
                <w:szCs w:val="20"/>
              </w:rPr>
              <w:t></w:t>
            </w:r>
            <w:r w:rsidRPr="00511C5C">
              <w:rPr>
                <w:sz w:val="20"/>
                <w:szCs w:val="20"/>
              </w:rPr>
              <w:t xml:space="preserve">random; </w:t>
            </w:r>
          </w:p>
          <w:p w14:paraId="27B7D9A5" w14:textId="77777777" w:rsidR="00C478F0" w:rsidRPr="00511C5C" w:rsidRDefault="00C478F0" w:rsidP="00C478F0">
            <w:pPr>
              <w:pStyle w:val="Default"/>
              <w:rPr>
                <w:sz w:val="20"/>
                <w:szCs w:val="20"/>
              </w:rPr>
            </w:pPr>
            <w:r w:rsidRPr="00511C5C">
              <w:rPr>
                <w:rFonts w:ascii="Wingdings" w:hAnsi="Wingdings" w:cs="Wingdings"/>
                <w:sz w:val="20"/>
                <w:szCs w:val="20"/>
              </w:rPr>
              <w:t></w:t>
            </w:r>
            <w:r w:rsidRPr="00511C5C">
              <w:rPr>
                <w:rFonts w:ascii="Wingdings" w:hAnsi="Wingdings" w:cs="Wingdings"/>
                <w:sz w:val="20"/>
                <w:szCs w:val="20"/>
              </w:rPr>
              <w:t></w:t>
            </w:r>
            <w:r w:rsidRPr="00511C5C">
              <w:rPr>
                <w:sz w:val="20"/>
                <w:szCs w:val="20"/>
              </w:rPr>
              <w:t xml:space="preserve">stratified; </w:t>
            </w:r>
          </w:p>
          <w:p w14:paraId="53254CFB" w14:textId="77777777" w:rsidR="00C478F0" w:rsidRPr="00511C5C" w:rsidRDefault="00C478F0" w:rsidP="00C478F0">
            <w:pPr>
              <w:pStyle w:val="Default"/>
              <w:rPr>
                <w:sz w:val="20"/>
                <w:szCs w:val="20"/>
              </w:rPr>
            </w:pPr>
            <w:r w:rsidRPr="00511C5C">
              <w:rPr>
                <w:rFonts w:ascii="Wingdings" w:hAnsi="Wingdings" w:cs="Wingdings"/>
                <w:sz w:val="20"/>
                <w:szCs w:val="20"/>
              </w:rPr>
              <w:t></w:t>
            </w:r>
            <w:r w:rsidRPr="00511C5C">
              <w:rPr>
                <w:rFonts w:ascii="Wingdings" w:hAnsi="Wingdings" w:cs="Wingdings"/>
                <w:sz w:val="20"/>
                <w:szCs w:val="20"/>
              </w:rPr>
              <w:t></w:t>
            </w:r>
            <w:r w:rsidRPr="00511C5C">
              <w:rPr>
                <w:sz w:val="20"/>
                <w:szCs w:val="20"/>
              </w:rPr>
              <w:t xml:space="preserve">quota; </w:t>
            </w:r>
          </w:p>
          <w:p w14:paraId="5907224F" w14:textId="77777777" w:rsidR="00C478F0" w:rsidRPr="00511C5C" w:rsidRDefault="00C478F0" w:rsidP="00C478F0">
            <w:pPr>
              <w:pStyle w:val="Default"/>
              <w:rPr>
                <w:sz w:val="20"/>
                <w:szCs w:val="20"/>
              </w:rPr>
            </w:pPr>
            <w:r w:rsidRPr="00511C5C">
              <w:rPr>
                <w:rFonts w:ascii="Wingdings" w:hAnsi="Wingdings" w:cs="Wingdings"/>
                <w:sz w:val="20"/>
                <w:szCs w:val="20"/>
              </w:rPr>
              <w:t></w:t>
            </w:r>
            <w:r w:rsidRPr="00511C5C">
              <w:rPr>
                <w:rFonts w:ascii="Wingdings" w:hAnsi="Wingdings" w:cs="Wingdings"/>
                <w:sz w:val="20"/>
                <w:szCs w:val="20"/>
              </w:rPr>
              <w:t></w:t>
            </w:r>
            <w:r w:rsidRPr="00511C5C">
              <w:rPr>
                <w:sz w:val="20"/>
                <w:szCs w:val="20"/>
              </w:rPr>
              <w:t xml:space="preserve">snowball; </w:t>
            </w:r>
          </w:p>
          <w:p w14:paraId="01BC0479" w14:textId="77777777" w:rsidR="00C478F0" w:rsidRPr="00511C5C" w:rsidRDefault="00C478F0" w:rsidP="00C478F0">
            <w:pPr>
              <w:pStyle w:val="Default"/>
              <w:rPr>
                <w:sz w:val="20"/>
                <w:szCs w:val="20"/>
              </w:rPr>
            </w:pPr>
            <w:r w:rsidRPr="00511C5C">
              <w:rPr>
                <w:rFonts w:ascii="Wingdings" w:hAnsi="Wingdings" w:cs="Wingdings"/>
                <w:sz w:val="20"/>
                <w:szCs w:val="20"/>
              </w:rPr>
              <w:t></w:t>
            </w:r>
            <w:r w:rsidRPr="00511C5C">
              <w:rPr>
                <w:rFonts w:ascii="Wingdings" w:hAnsi="Wingdings" w:cs="Wingdings"/>
                <w:sz w:val="20"/>
                <w:szCs w:val="20"/>
              </w:rPr>
              <w:t></w:t>
            </w:r>
            <w:r w:rsidRPr="00511C5C">
              <w:rPr>
                <w:sz w:val="20"/>
                <w:szCs w:val="20"/>
              </w:rPr>
              <w:t xml:space="preserve">purposeful; </w:t>
            </w:r>
          </w:p>
          <w:p w14:paraId="25044C48" w14:textId="77777777" w:rsidR="00C478F0" w:rsidRPr="00511C5C" w:rsidRDefault="00C478F0" w:rsidP="00C478F0">
            <w:pPr>
              <w:pStyle w:val="Default"/>
              <w:rPr>
                <w:sz w:val="20"/>
                <w:szCs w:val="20"/>
              </w:rPr>
            </w:pPr>
            <w:r w:rsidRPr="00511C5C">
              <w:rPr>
                <w:sz w:val="20"/>
                <w:szCs w:val="20"/>
              </w:rPr>
              <w:t xml:space="preserve">• target population; </w:t>
            </w:r>
          </w:p>
          <w:p w14:paraId="30EF3416" w14:textId="77777777" w:rsidR="00C478F0" w:rsidRPr="00511C5C" w:rsidRDefault="00C478F0" w:rsidP="00C478F0">
            <w:pPr>
              <w:pStyle w:val="Default"/>
              <w:rPr>
                <w:sz w:val="20"/>
                <w:szCs w:val="20"/>
              </w:rPr>
            </w:pPr>
            <w:r w:rsidRPr="00511C5C">
              <w:rPr>
                <w:sz w:val="20"/>
                <w:szCs w:val="20"/>
              </w:rPr>
              <w:t xml:space="preserve">• access; </w:t>
            </w:r>
          </w:p>
          <w:p w14:paraId="63ADF6DF" w14:textId="77777777" w:rsidR="00C478F0" w:rsidRPr="00511C5C" w:rsidRDefault="00C478F0" w:rsidP="00D65673">
            <w:pPr>
              <w:pStyle w:val="Default"/>
              <w:rPr>
                <w:sz w:val="20"/>
                <w:szCs w:val="20"/>
              </w:rPr>
            </w:pPr>
            <w:r w:rsidRPr="00511C5C">
              <w:rPr>
                <w:sz w:val="20"/>
                <w:szCs w:val="20"/>
              </w:rPr>
              <w:t xml:space="preserve">• gatekeeper. </w:t>
            </w:r>
          </w:p>
        </w:tc>
        <w:tc>
          <w:tcPr>
            <w:tcW w:w="1710" w:type="dxa"/>
          </w:tcPr>
          <w:p w14:paraId="23E4C2C6" w14:textId="77777777" w:rsidR="00C478F0" w:rsidRPr="00511C5C" w:rsidRDefault="00C478F0" w:rsidP="00D65673">
            <w:pPr>
              <w:rPr>
                <w:rFonts w:ascii="Times New Roman" w:eastAsia="Calibri" w:hAnsi="Times New Roman"/>
                <w:sz w:val="20"/>
                <w:szCs w:val="20"/>
              </w:rPr>
            </w:pPr>
          </w:p>
        </w:tc>
        <w:tc>
          <w:tcPr>
            <w:tcW w:w="1254" w:type="dxa"/>
          </w:tcPr>
          <w:p w14:paraId="1A10DFC7" w14:textId="77777777" w:rsidR="00C478F0" w:rsidRPr="00511C5C" w:rsidRDefault="00C478F0" w:rsidP="00D65673">
            <w:pPr>
              <w:rPr>
                <w:rFonts w:ascii="Times New Roman" w:eastAsia="Calibri" w:hAnsi="Times New Roman"/>
                <w:sz w:val="20"/>
                <w:szCs w:val="20"/>
              </w:rPr>
            </w:pPr>
          </w:p>
        </w:tc>
        <w:tc>
          <w:tcPr>
            <w:tcW w:w="2990" w:type="dxa"/>
          </w:tcPr>
          <w:p w14:paraId="14659177" w14:textId="77777777" w:rsidR="00C478F0" w:rsidRPr="00511C5C" w:rsidRDefault="00C478F0" w:rsidP="00D65673">
            <w:pPr>
              <w:rPr>
                <w:rFonts w:ascii="Times New Roman" w:eastAsia="Calibri" w:hAnsi="Times New Roman"/>
                <w:sz w:val="20"/>
                <w:szCs w:val="20"/>
              </w:rPr>
            </w:pPr>
          </w:p>
        </w:tc>
      </w:tr>
      <w:tr w:rsidR="00C478F0" w:rsidRPr="006B7DE0" w14:paraId="6657B759" w14:textId="77777777" w:rsidTr="00D65673">
        <w:tc>
          <w:tcPr>
            <w:tcW w:w="4962" w:type="dxa"/>
          </w:tcPr>
          <w:p w14:paraId="2B695BDE" w14:textId="77777777" w:rsidR="00C478F0" w:rsidRPr="00511C5C" w:rsidRDefault="00C478F0" w:rsidP="00C478F0">
            <w:pPr>
              <w:pStyle w:val="Default"/>
              <w:rPr>
                <w:sz w:val="20"/>
                <w:szCs w:val="20"/>
              </w:rPr>
            </w:pPr>
            <w:r w:rsidRPr="00511C5C">
              <w:rPr>
                <w:sz w:val="20"/>
                <w:szCs w:val="20"/>
              </w:rPr>
              <w:t xml:space="preserve">Methodological issues and concerns: </w:t>
            </w:r>
          </w:p>
          <w:p w14:paraId="03F626F9" w14:textId="77777777" w:rsidR="00C478F0" w:rsidRPr="00511C5C" w:rsidRDefault="00C478F0" w:rsidP="00C478F0">
            <w:pPr>
              <w:pStyle w:val="Default"/>
              <w:rPr>
                <w:sz w:val="20"/>
                <w:szCs w:val="20"/>
              </w:rPr>
            </w:pPr>
            <w:r w:rsidRPr="00511C5C">
              <w:rPr>
                <w:sz w:val="20"/>
                <w:szCs w:val="20"/>
              </w:rPr>
              <w:t xml:space="preserve">• positivist; </w:t>
            </w:r>
          </w:p>
          <w:p w14:paraId="1541D156" w14:textId="77777777" w:rsidR="00C478F0" w:rsidRPr="00511C5C" w:rsidRDefault="00C478F0" w:rsidP="00C478F0">
            <w:pPr>
              <w:pStyle w:val="Default"/>
              <w:rPr>
                <w:sz w:val="20"/>
                <w:szCs w:val="20"/>
              </w:rPr>
            </w:pPr>
            <w:r w:rsidRPr="00511C5C">
              <w:rPr>
                <w:sz w:val="20"/>
                <w:szCs w:val="20"/>
              </w:rPr>
              <w:t xml:space="preserve">• interpretivist; </w:t>
            </w:r>
          </w:p>
          <w:p w14:paraId="19089089" w14:textId="77777777" w:rsidR="00C478F0" w:rsidRPr="00511C5C" w:rsidRDefault="00C478F0" w:rsidP="00C478F0">
            <w:pPr>
              <w:pStyle w:val="Default"/>
              <w:rPr>
                <w:sz w:val="20"/>
                <w:szCs w:val="20"/>
              </w:rPr>
            </w:pPr>
            <w:r w:rsidRPr="00511C5C">
              <w:rPr>
                <w:sz w:val="20"/>
                <w:szCs w:val="20"/>
              </w:rPr>
              <w:t xml:space="preserve">• realist; </w:t>
            </w:r>
          </w:p>
          <w:p w14:paraId="789D8566" w14:textId="77777777" w:rsidR="00C478F0" w:rsidRPr="00511C5C" w:rsidRDefault="00C478F0" w:rsidP="00D65673">
            <w:pPr>
              <w:pStyle w:val="Default"/>
              <w:rPr>
                <w:sz w:val="20"/>
                <w:szCs w:val="20"/>
              </w:rPr>
            </w:pPr>
            <w:r w:rsidRPr="00511C5C">
              <w:rPr>
                <w:sz w:val="20"/>
                <w:szCs w:val="20"/>
              </w:rPr>
              <w:t xml:space="preserve">• feminist. </w:t>
            </w:r>
          </w:p>
        </w:tc>
        <w:tc>
          <w:tcPr>
            <w:tcW w:w="1710" w:type="dxa"/>
          </w:tcPr>
          <w:p w14:paraId="4E138BA5" w14:textId="77777777" w:rsidR="00C478F0" w:rsidRPr="00511C5C" w:rsidRDefault="00C478F0" w:rsidP="00D65673">
            <w:pPr>
              <w:rPr>
                <w:rFonts w:ascii="Times New Roman" w:eastAsia="Calibri" w:hAnsi="Times New Roman"/>
                <w:sz w:val="20"/>
                <w:szCs w:val="20"/>
              </w:rPr>
            </w:pPr>
          </w:p>
        </w:tc>
        <w:tc>
          <w:tcPr>
            <w:tcW w:w="1254" w:type="dxa"/>
          </w:tcPr>
          <w:p w14:paraId="5EE120DE" w14:textId="77777777" w:rsidR="00C478F0" w:rsidRPr="00511C5C" w:rsidRDefault="00C478F0" w:rsidP="00D65673">
            <w:pPr>
              <w:rPr>
                <w:rFonts w:ascii="Times New Roman" w:eastAsia="Calibri" w:hAnsi="Times New Roman"/>
                <w:sz w:val="20"/>
                <w:szCs w:val="20"/>
              </w:rPr>
            </w:pPr>
          </w:p>
        </w:tc>
        <w:tc>
          <w:tcPr>
            <w:tcW w:w="2990" w:type="dxa"/>
          </w:tcPr>
          <w:p w14:paraId="7DB6BC03" w14:textId="77777777" w:rsidR="00C478F0" w:rsidRPr="00511C5C" w:rsidRDefault="00C478F0" w:rsidP="00D65673">
            <w:pPr>
              <w:rPr>
                <w:rFonts w:ascii="Times New Roman" w:eastAsia="Calibri" w:hAnsi="Times New Roman"/>
                <w:sz w:val="20"/>
                <w:szCs w:val="20"/>
              </w:rPr>
            </w:pPr>
          </w:p>
        </w:tc>
      </w:tr>
      <w:tr w:rsidR="00C478F0" w:rsidRPr="006B7DE0" w14:paraId="658E7A11" w14:textId="77777777" w:rsidTr="00D65673">
        <w:tc>
          <w:tcPr>
            <w:tcW w:w="4962" w:type="dxa"/>
          </w:tcPr>
          <w:p w14:paraId="4E21BFB3" w14:textId="77777777" w:rsidR="00C478F0" w:rsidRPr="00511C5C" w:rsidRDefault="00C478F0" w:rsidP="00D65673">
            <w:pPr>
              <w:pStyle w:val="Default"/>
              <w:rPr>
                <w:sz w:val="20"/>
                <w:szCs w:val="20"/>
              </w:rPr>
            </w:pPr>
            <w:r w:rsidRPr="00511C5C">
              <w:rPr>
                <w:sz w:val="20"/>
                <w:szCs w:val="20"/>
              </w:rPr>
              <w:t xml:space="preserve">Sociological explanations of the changing class structure. </w:t>
            </w:r>
          </w:p>
          <w:p w14:paraId="7FC42538" w14:textId="77777777" w:rsidR="00C478F0" w:rsidRPr="00511C5C" w:rsidRDefault="00C478F0" w:rsidP="00D65673">
            <w:pPr>
              <w:pStyle w:val="Default"/>
              <w:rPr>
                <w:sz w:val="20"/>
                <w:szCs w:val="20"/>
              </w:rPr>
            </w:pPr>
          </w:p>
          <w:p w14:paraId="22D4C477" w14:textId="77777777" w:rsidR="00C478F0" w:rsidRPr="00511C5C" w:rsidRDefault="00C478F0" w:rsidP="00D65673">
            <w:pPr>
              <w:pStyle w:val="Default"/>
              <w:rPr>
                <w:sz w:val="20"/>
                <w:szCs w:val="20"/>
              </w:rPr>
            </w:pPr>
          </w:p>
        </w:tc>
        <w:tc>
          <w:tcPr>
            <w:tcW w:w="1710" w:type="dxa"/>
          </w:tcPr>
          <w:p w14:paraId="5781CB17" w14:textId="77777777" w:rsidR="00C478F0" w:rsidRPr="00511C5C" w:rsidRDefault="00C478F0" w:rsidP="00D65673">
            <w:pPr>
              <w:rPr>
                <w:rFonts w:ascii="Times New Roman" w:eastAsia="Calibri" w:hAnsi="Times New Roman"/>
                <w:sz w:val="20"/>
                <w:szCs w:val="20"/>
              </w:rPr>
            </w:pPr>
          </w:p>
        </w:tc>
        <w:tc>
          <w:tcPr>
            <w:tcW w:w="1254" w:type="dxa"/>
          </w:tcPr>
          <w:p w14:paraId="29592499" w14:textId="77777777" w:rsidR="00C478F0" w:rsidRPr="00511C5C" w:rsidRDefault="00C478F0" w:rsidP="00D65673">
            <w:pPr>
              <w:rPr>
                <w:rFonts w:ascii="Times New Roman" w:eastAsia="Calibri" w:hAnsi="Times New Roman"/>
                <w:sz w:val="20"/>
                <w:szCs w:val="20"/>
              </w:rPr>
            </w:pPr>
          </w:p>
        </w:tc>
        <w:tc>
          <w:tcPr>
            <w:tcW w:w="2990" w:type="dxa"/>
          </w:tcPr>
          <w:p w14:paraId="5BDDC2FE" w14:textId="77777777" w:rsidR="00C478F0" w:rsidRPr="00511C5C" w:rsidRDefault="00C478F0" w:rsidP="00D65673">
            <w:pPr>
              <w:rPr>
                <w:rFonts w:ascii="Times New Roman" w:eastAsia="Calibri" w:hAnsi="Times New Roman"/>
                <w:sz w:val="20"/>
                <w:szCs w:val="20"/>
              </w:rPr>
            </w:pPr>
          </w:p>
        </w:tc>
      </w:tr>
    </w:tbl>
    <w:p w14:paraId="25EDB851" w14:textId="77777777" w:rsidR="00C478F0" w:rsidRDefault="00C478F0">
      <w:pPr>
        <w:rPr>
          <w:rFonts w:ascii="Times New Roman" w:hAnsi="Times New Roman"/>
        </w:rPr>
      </w:pPr>
    </w:p>
    <w:sectPr w:rsidR="00C478F0" w:rsidSect="00A45183">
      <w:pgSz w:w="11900" w:h="16840"/>
      <w:pgMar w:top="426" w:right="1800" w:bottom="142"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3DA8"/>
    <w:multiLevelType w:val="hybridMultilevel"/>
    <w:tmpl w:val="929C1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7F237B"/>
    <w:multiLevelType w:val="hybridMultilevel"/>
    <w:tmpl w:val="19D0C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D11F16"/>
    <w:multiLevelType w:val="hybridMultilevel"/>
    <w:tmpl w:val="5E7C1C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E97C7D"/>
    <w:multiLevelType w:val="hybridMultilevel"/>
    <w:tmpl w:val="D778C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34536"/>
    <w:multiLevelType w:val="hybridMultilevel"/>
    <w:tmpl w:val="D778C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C7"/>
    <w:rsid w:val="000A612F"/>
    <w:rsid w:val="000D5E85"/>
    <w:rsid w:val="001E0A3F"/>
    <w:rsid w:val="00504D81"/>
    <w:rsid w:val="00511C5C"/>
    <w:rsid w:val="00632DAA"/>
    <w:rsid w:val="006B7DE0"/>
    <w:rsid w:val="006E2B4A"/>
    <w:rsid w:val="00993042"/>
    <w:rsid w:val="00A45183"/>
    <w:rsid w:val="00B521C3"/>
    <w:rsid w:val="00C15014"/>
    <w:rsid w:val="00C478F0"/>
    <w:rsid w:val="00D65673"/>
    <w:rsid w:val="00DE5901"/>
    <w:rsid w:val="00E53333"/>
    <w:rsid w:val="00F66CEA"/>
    <w:rsid w:val="00FE596E"/>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AA394"/>
  <w15:chartTrackingRefBased/>
  <w15:docId w15:val="{49CA4A6D-EAC5-4CCB-80CC-DD110C75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17"/>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025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B7DE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THOROWGOOD</dc:creator>
  <cp:keywords/>
  <cp:lastModifiedBy>chris livesey</cp:lastModifiedBy>
  <cp:revision>2</cp:revision>
  <cp:lastPrinted>2014-06-06T13:16:00Z</cp:lastPrinted>
  <dcterms:created xsi:type="dcterms:W3CDTF">2022-03-29T11:28:00Z</dcterms:created>
  <dcterms:modified xsi:type="dcterms:W3CDTF">2022-03-29T11:28:00Z</dcterms:modified>
</cp:coreProperties>
</file>