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02" w:rsidRPr="002A4696" w:rsidRDefault="008B7E02" w:rsidP="0031053E">
      <w:pPr>
        <w:spacing w:after="180" w:line="240" w:lineRule="auto"/>
        <w:jc w:val="center"/>
        <w:outlineLvl w:val="1"/>
        <w:rPr>
          <w:rFonts w:ascii="Arial Rounded MT Bold" w:eastAsia="Times New Roman" w:hAnsi="Arial Rounded MT Bold" w:cs="Aharoni"/>
          <w:color w:val="000000" w:themeColor="text1"/>
          <w:sz w:val="31"/>
          <w:szCs w:val="31"/>
          <w:u w:val="single"/>
          <w:lang w:val="en" w:eastAsia="en-GB"/>
        </w:rPr>
      </w:pPr>
      <w:r w:rsidRPr="002A4696">
        <w:rPr>
          <w:rFonts w:ascii="Arial Rounded MT Bold" w:eastAsia="Times New Roman" w:hAnsi="Arial Rounded MT Bold" w:cs="Aharoni"/>
          <w:color w:val="000000" w:themeColor="text1"/>
          <w:sz w:val="31"/>
          <w:szCs w:val="31"/>
          <w:u w:val="single"/>
          <w:lang w:val="en" w:eastAsia="en-GB"/>
        </w:rPr>
        <w:t xml:space="preserve">Families and households </w:t>
      </w:r>
    </w:p>
    <w:tbl>
      <w:tblPr>
        <w:tblW w:w="5064" w:type="pct"/>
        <w:tblInd w:w="-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6"/>
        <w:gridCol w:w="1277"/>
        <w:gridCol w:w="851"/>
        <w:gridCol w:w="833"/>
      </w:tblGrid>
      <w:tr w:rsidR="0057557A" w:rsidRPr="0031053E" w:rsidTr="000C2E46">
        <w:trPr>
          <w:tblHeader/>
        </w:trPr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557A" w:rsidRPr="0031053E" w:rsidRDefault="0057557A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  <w:t>Specification and content</w:t>
            </w:r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D9D9D9" w:themeFill="background1" w:themeFillShade="D9"/>
            <w:vAlign w:val="center"/>
          </w:tcPr>
          <w:p w:rsidR="0057557A" w:rsidRPr="0031053E" w:rsidRDefault="0057557A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  <w:t xml:space="preserve">Covered </w:t>
            </w:r>
            <w:r w:rsidRPr="0031053E"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  <w:sym w:font="Wingdings" w:char="F0FC"/>
            </w: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D9D9D9" w:themeFill="background1" w:themeFillShade="D9"/>
            <w:vAlign w:val="center"/>
          </w:tcPr>
          <w:p w:rsidR="0057557A" w:rsidRPr="0031053E" w:rsidRDefault="0057557A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  <w:t>RAG</w:t>
            </w:r>
          </w:p>
        </w:tc>
        <w:tc>
          <w:tcPr>
            <w:tcW w:w="386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D9D9D9" w:themeFill="background1" w:themeFillShade="D9"/>
            <w:vAlign w:val="center"/>
          </w:tcPr>
          <w:p w:rsidR="0057557A" w:rsidRPr="0031053E" w:rsidRDefault="0057557A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  <w:t>RAG</w:t>
            </w:r>
          </w:p>
        </w:tc>
      </w:tr>
      <w:tr w:rsidR="0057557A" w:rsidRPr="0031053E" w:rsidTr="003C59B1">
        <w:tc>
          <w:tcPr>
            <w:tcW w:w="5000" w:type="pct"/>
            <w:gridSpan w:val="4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BFBFBF" w:themeFill="background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557A" w:rsidRPr="0031053E" w:rsidRDefault="001B4483" w:rsidP="00E51F27">
            <w:pPr>
              <w:pStyle w:val="ListParagraph"/>
              <w:numPr>
                <w:ilvl w:val="0"/>
                <w:numId w:val="88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  <w:t>The relationship of the family to the social structure and social change, with particular reference to the economy and to state policies</w:t>
            </w:r>
          </w:p>
        </w:tc>
      </w:tr>
      <w:tr w:rsidR="0057557A" w:rsidRPr="0031053E" w:rsidTr="000C2E46"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053E" w:rsidRPr="0031053E" w:rsidRDefault="001B4483" w:rsidP="0031053E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  <w:t xml:space="preserve">Different sociological views </w:t>
            </w:r>
            <w:r w:rsidR="0031053E" w:rsidRPr="0031053E"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  <w:t>On the role of the family and its relationship to wider social structures such as the economy.</w:t>
            </w:r>
          </w:p>
          <w:p w:rsidR="00C95ADC" w:rsidRPr="0031053E" w:rsidRDefault="001B4483" w:rsidP="00A35B6C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  <w:t xml:space="preserve">functionalist, </w:t>
            </w:r>
          </w:p>
          <w:p w:rsidR="00C95ADC" w:rsidRPr="0031053E" w:rsidRDefault="001B4483" w:rsidP="00A35B6C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  <w:t xml:space="preserve">feminist, </w:t>
            </w:r>
          </w:p>
          <w:p w:rsidR="00C95ADC" w:rsidRPr="0031053E" w:rsidRDefault="001B4483" w:rsidP="00A35B6C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  <w:t xml:space="preserve">Marxist, </w:t>
            </w:r>
          </w:p>
          <w:p w:rsidR="00C95ADC" w:rsidRPr="0031053E" w:rsidRDefault="001B4483" w:rsidP="00A35B6C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  <w:t xml:space="preserve">New Right and </w:t>
            </w:r>
          </w:p>
          <w:p w:rsidR="00C95ADC" w:rsidRPr="0031053E" w:rsidRDefault="001B4483" w:rsidP="00A35B6C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  <w:t xml:space="preserve">postmodernist, </w:t>
            </w:r>
          </w:p>
          <w:p w:rsidR="0031053E" w:rsidRPr="0031053E" w:rsidRDefault="0031053E" w:rsidP="0031053E">
            <w:pPr>
              <w:pStyle w:val="ListParagraph"/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</w:pPr>
          </w:p>
          <w:p w:rsidR="00C95ADC" w:rsidRPr="0031053E" w:rsidRDefault="001B4483" w:rsidP="00A35B6C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 xml:space="preserve">Parsons, </w:t>
            </w:r>
          </w:p>
          <w:p w:rsidR="00C95ADC" w:rsidRPr="0031053E" w:rsidRDefault="001B4483" w:rsidP="00A35B6C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 xml:space="preserve">Murdock, </w:t>
            </w:r>
          </w:p>
          <w:p w:rsidR="00C95ADC" w:rsidRPr="0031053E" w:rsidRDefault="001B4483" w:rsidP="00A35B6C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</w:pPr>
            <w:proofErr w:type="spellStart"/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>Zaretsky</w:t>
            </w:r>
            <w:proofErr w:type="spellEnd"/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 xml:space="preserve">, </w:t>
            </w:r>
          </w:p>
          <w:p w:rsidR="0057557A" w:rsidRPr="0031053E" w:rsidRDefault="001B4483" w:rsidP="00A35B6C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>Oakley</w:t>
            </w:r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31053E" w:rsidRDefault="0057557A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31053E" w:rsidRDefault="0057557A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</w:p>
        </w:tc>
        <w:tc>
          <w:tcPr>
            <w:tcW w:w="386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31053E" w:rsidRDefault="0057557A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</w:p>
        </w:tc>
      </w:tr>
      <w:tr w:rsidR="0057557A" w:rsidRPr="0031053E" w:rsidTr="000C2E46"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1053E" w:rsidRPr="0031053E" w:rsidRDefault="001B4483" w:rsidP="0031053E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  <w:t>The impact</w:t>
            </w:r>
            <w:r w:rsidR="0031053E" w:rsidRPr="0031053E"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  <w:t xml:space="preserve"> on</w:t>
            </w:r>
            <w:r w:rsidR="0031053E" w:rsidRPr="0031053E"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  <w:t xml:space="preserve"> </w:t>
            </w:r>
            <w:r w:rsidR="0031053E" w:rsidRPr="0031053E"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  <w:t>the family</w:t>
            </w:r>
            <w:r w:rsidRPr="0031053E"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  <w:t xml:space="preserve"> of gov</w:t>
            </w:r>
            <w:r w:rsidRPr="0031053E"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  <w:t>ern</w:t>
            </w:r>
            <w:r w:rsidRPr="0031053E"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  <w:t xml:space="preserve">ment legislation, </w:t>
            </w:r>
            <w:r w:rsidR="0031053E" w:rsidRPr="0031053E"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  <w:t xml:space="preserve">and policies, </w:t>
            </w:r>
            <w:proofErr w:type="spellStart"/>
            <w:r w:rsidR="0031053E" w:rsidRPr="0031053E"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  <w:t>eg</w:t>
            </w:r>
            <w:proofErr w:type="spellEnd"/>
            <w:r w:rsidR="0031053E" w:rsidRPr="0031053E"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  <w:t xml:space="preserve"> </w:t>
            </w:r>
          </w:p>
          <w:p w:rsidR="00C95ADC" w:rsidRPr="0031053E" w:rsidRDefault="001B4483" w:rsidP="00A35B6C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  <w:t xml:space="preserve">divorce, </w:t>
            </w:r>
          </w:p>
          <w:p w:rsidR="00C95ADC" w:rsidRPr="0031053E" w:rsidRDefault="001B4483" w:rsidP="00A35B6C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  <w:t xml:space="preserve">adoption and </w:t>
            </w:r>
            <w:r w:rsidR="0031053E" w:rsidRPr="0031053E"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  <w:t xml:space="preserve"> </w:t>
            </w:r>
            <w:r w:rsidRPr="0031053E"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  <w:t xml:space="preserve">same sex marriage, </w:t>
            </w:r>
          </w:p>
          <w:p w:rsidR="00C95ADC" w:rsidRPr="0031053E" w:rsidRDefault="001B4483" w:rsidP="00A35B6C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  <w:t xml:space="preserve">education, </w:t>
            </w:r>
          </w:p>
          <w:p w:rsidR="001B4483" w:rsidRPr="0031053E" w:rsidRDefault="001B4483" w:rsidP="00A35B6C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  <w:t xml:space="preserve">housing and welfare, </w:t>
            </w:r>
          </w:p>
          <w:p w:rsidR="003A5D22" w:rsidRPr="0031053E" w:rsidRDefault="003A5D22" w:rsidP="003A5D22">
            <w:pPr>
              <w:pStyle w:val="ListParagraph"/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</w:pPr>
          </w:p>
          <w:p w:rsidR="00C95ADC" w:rsidRPr="0031053E" w:rsidRDefault="001B4483" w:rsidP="00A35B6C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</w:pPr>
            <w:proofErr w:type="spellStart"/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>Donzelot</w:t>
            </w:r>
            <w:proofErr w:type="spellEnd"/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 xml:space="preserve">, </w:t>
            </w:r>
          </w:p>
          <w:p w:rsidR="00C95ADC" w:rsidRPr="0031053E" w:rsidRDefault="001B4483" w:rsidP="00A35B6C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 xml:space="preserve">Leonard, </w:t>
            </w:r>
          </w:p>
          <w:p w:rsidR="0057557A" w:rsidRPr="0031053E" w:rsidRDefault="001B4483" w:rsidP="00A35B6C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>Murray</w:t>
            </w:r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31053E" w:rsidRDefault="0057557A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31053E" w:rsidRDefault="0057557A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</w:p>
        </w:tc>
        <w:tc>
          <w:tcPr>
            <w:tcW w:w="386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31053E" w:rsidRDefault="0057557A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</w:p>
        </w:tc>
      </w:tr>
      <w:tr w:rsidR="000C2E46" w:rsidRPr="0031053E" w:rsidTr="003C59B1">
        <w:tc>
          <w:tcPr>
            <w:tcW w:w="5000" w:type="pct"/>
            <w:gridSpan w:val="4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BFBFBF" w:themeFill="background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2E46" w:rsidRPr="0031053E" w:rsidRDefault="00E51F27" w:rsidP="00E51F27">
            <w:pPr>
              <w:spacing w:after="0" w:line="276" w:lineRule="auto"/>
              <w:ind w:left="360"/>
              <w:jc w:val="both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  <w:t xml:space="preserve">2. </w:t>
            </w:r>
            <w:r w:rsidR="000C2E46" w:rsidRPr="0031053E"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  <w:t>Changing patterns of marriage, cohabitation, separation, divorce, childbearing and the life course, including the sociology of personal life, and the diversity of contemporary family and household structures</w:t>
            </w:r>
          </w:p>
        </w:tc>
      </w:tr>
      <w:tr w:rsidR="0057557A" w:rsidRPr="0031053E" w:rsidTr="000C2E46"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A7F37" w:rsidRPr="0031053E" w:rsidRDefault="000C2E46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  <w:t>An understanding of the trends in contemporary family and household structures,</w:t>
            </w:r>
          </w:p>
          <w:p w:rsidR="00BA7F37" w:rsidRPr="0031053E" w:rsidRDefault="000C2E46" w:rsidP="00A35B6C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  <w:t xml:space="preserve">symmetrical family, </w:t>
            </w:r>
          </w:p>
          <w:p w:rsidR="00BA7F37" w:rsidRPr="0031053E" w:rsidRDefault="000C2E46" w:rsidP="00A35B6C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  <w:t xml:space="preserve">beanpole families, </w:t>
            </w:r>
          </w:p>
          <w:p w:rsidR="00BA7F37" w:rsidRPr="0031053E" w:rsidRDefault="000C2E46" w:rsidP="00A35B6C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</w:pPr>
            <w:proofErr w:type="spellStart"/>
            <w:r w:rsidRPr="0031053E"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  <w:t>matrifocal</w:t>
            </w:r>
            <w:proofErr w:type="spellEnd"/>
            <w:r w:rsidRPr="0031053E"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  <w:t xml:space="preserve"> families, </w:t>
            </w:r>
          </w:p>
          <w:p w:rsidR="00BA7F37" w:rsidRPr="0031053E" w:rsidRDefault="000C2E46" w:rsidP="00A35B6C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  <w:t xml:space="preserve">serial monogamy, </w:t>
            </w:r>
          </w:p>
          <w:p w:rsidR="00BA7F37" w:rsidRPr="0031053E" w:rsidRDefault="000C2E46" w:rsidP="00A35B6C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  <w:t xml:space="preserve">lone-parent families, </w:t>
            </w:r>
          </w:p>
          <w:p w:rsidR="00BA7F37" w:rsidRPr="0031053E" w:rsidRDefault="000C2E46" w:rsidP="00A35B6C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  <w:t xml:space="preserve">house husbands, </w:t>
            </w:r>
          </w:p>
          <w:p w:rsidR="00BA7F37" w:rsidRPr="0031053E" w:rsidRDefault="000C2E46" w:rsidP="00A35B6C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  <w:t xml:space="preserve">living apart together, </w:t>
            </w:r>
          </w:p>
          <w:p w:rsidR="000C2E46" w:rsidRPr="0031053E" w:rsidRDefault="000C2E46" w:rsidP="00A35B6C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  <w:t xml:space="preserve">same sex couples </w:t>
            </w:r>
          </w:p>
          <w:p w:rsidR="003A5D22" w:rsidRPr="0031053E" w:rsidRDefault="003A5D22" w:rsidP="003A5D22">
            <w:pPr>
              <w:pStyle w:val="ListParagraph"/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</w:pPr>
          </w:p>
          <w:p w:rsidR="00BA7F37" w:rsidRPr="0031053E" w:rsidRDefault="000C2E46" w:rsidP="00A35B6C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 xml:space="preserve">Chester, </w:t>
            </w:r>
          </w:p>
          <w:p w:rsidR="00BA7F37" w:rsidRPr="0031053E" w:rsidRDefault="000C2E46" w:rsidP="00A35B6C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 xml:space="preserve">Giddens, </w:t>
            </w:r>
          </w:p>
          <w:p w:rsidR="0057557A" w:rsidRPr="0031053E" w:rsidRDefault="000C2E46" w:rsidP="00A35B6C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  <w:proofErr w:type="spellStart"/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>Rapoports</w:t>
            </w:r>
            <w:proofErr w:type="spellEnd"/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31053E" w:rsidRDefault="0057557A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31053E" w:rsidRDefault="0057557A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</w:p>
        </w:tc>
        <w:tc>
          <w:tcPr>
            <w:tcW w:w="386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31053E" w:rsidRDefault="0057557A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</w:p>
        </w:tc>
      </w:tr>
      <w:tr w:rsidR="0057557A" w:rsidRPr="0031053E" w:rsidTr="000C2E46"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2E46" w:rsidRPr="0031053E" w:rsidRDefault="000C2E46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  <w:t xml:space="preserve">Different sociological explanations for the reasons and significance of </w:t>
            </w:r>
            <w:proofErr w:type="spellStart"/>
            <w:r w:rsidRPr="0031053E"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  <w:t>ttrends</w:t>
            </w:r>
            <w:proofErr w:type="spellEnd"/>
            <w:r w:rsidRPr="0031053E"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  <w:t>.</w:t>
            </w:r>
          </w:p>
          <w:p w:rsidR="00660BA0" w:rsidRPr="0031053E" w:rsidRDefault="000C2E46" w:rsidP="00A35B6C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 xml:space="preserve">Weeks, </w:t>
            </w:r>
          </w:p>
          <w:p w:rsidR="00660BA0" w:rsidRPr="0031053E" w:rsidRDefault="000C2E46" w:rsidP="00A35B6C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 xml:space="preserve">Chester, </w:t>
            </w:r>
          </w:p>
          <w:p w:rsidR="0057557A" w:rsidRPr="0031053E" w:rsidRDefault="000C2E46" w:rsidP="00A35B6C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>Stacey</w:t>
            </w:r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31053E" w:rsidRDefault="0057557A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31053E" w:rsidRDefault="0057557A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</w:p>
        </w:tc>
        <w:tc>
          <w:tcPr>
            <w:tcW w:w="386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31053E" w:rsidRDefault="0057557A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</w:p>
        </w:tc>
      </w:tr>
      <w:tr w:rsidR="0057557A" w:rsidRPr="0031053E" w:rsidTr="000C2E46"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2E46" w:rsidRPr="0031053E" w:rsidRDefault="000C2E46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  <w:t>Including the significance of individual choice in personal relationships and the significance of relationships beyond the traditional family structures.</w:t>
            </w:r>
          </w:p>
          <w:p w:rsidR="00660BA0" w:rsidRPr="0031053E" w:rsidRDefault="000C2E46" w:rsidP="00A35B6C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 xml:space="preserve">May, </w:t>
            </w:r>
          </w:p>
          <w:p w:rsidR="00660BA0" w:rsidRPr="0031053E" w:rsidRDefault="000C2E46" w:rsidP="00A35B6C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 xml:space="preserve">Smart, </w:t>
            </w:r>
          </w:p>
          <w:p w:rsidR="0057557A" w:rsidRPr="0031053E" w:rsidRDefault="000C2E46" w:rsidP="00A35B6C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>Stacey</w:t>
            </w:r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31053E" w:rsidRDefault="0057557A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31053E" w:rsidRDefault="0057557A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</w:p>
        </w:tc>
        <w:tc>
          <w:tcPr>
            <w:tcW w:w="386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57557A" w:rsidRPr="0031053E" w:rsidRDefault="0057557A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</w:p>
        </w:tc>
      </w:tr>
      <w:tr w:rsidR="000C2E46" w:rsidRPr="0031053E" w:rsidTr="003C59B1">
        <w:tc>
          <w:tcPr>
            <w:tcW w:w="5000" w:type="pct"/>
            <w:gridSpan w:val="4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BFBFBF" w:themeFill="background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2E46" w:rsidRPr="0031053E" w:rsidRDefault="000C2E46" w:rsidP="00E51F27">
            <w:pPr>
              <w:pStyle w:val="ListParagraph"/>
              <w:numPr>
                <w:ilvl w:val="0"/>
                <w:numId w:val="90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  <w:t>Gender roles, domestic labour and power relationships within the family in contemporary society</w:t>
            </w:r>
          </w:p>
        </w:tc>
      </w:tr>
      <w:tr w:rsidR="000C2E46" w:rsidRPr="0031053E" w:rsidTr="000C2E46"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2E46" w:rsidRPr="0031053E" w:rsidRDefault="000C2E46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  <w:t xml:space="preserve">Different sociological arguments and evidence on this, including an understanding of the </w:t>
            </w:r>
            <w:r w:rsidRPr="0031053E"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  <w:lastRenderedPageBreak/>
              <w:t>extent of changes and also diversity of experiences.</w:t>
            </w:r>
          </w:p>
          <w:p w:rsidR="00660BA0" w:rsidRPr="0031053E" w:rsidRDefault="000C2E46" w:rsidP="00A35B6C">
            <w:pPr>
              <w:pStyle w:val="ListParagraph"/>
              <w:numPr>
                <w:ilvl w:val="0"/>
                <w:numId w:val="42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</w:pPr>
            <w:proofErr w:type="spellStart"/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>Dunscombe</w:t>
            </w:r>
            <w:proofErr w:type="spellEnd"/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 xml:space="preserve"> and Marsden, </w:t>
            </w:r>
          </w:p>
          <w:p w:rsidR="00660BA0" w:rsidRPr="0031053E" w:rsidRDefault="000C2E46" w:rsidP="00A35B6C">
            <w:pPr>
              <w:pStyle w:val="ListParagraph"/>
              <w:numPr>
                <w:ilvl w:val="0"/>
                <w:numId w:val="42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</w:pPr>
            <w:proofErr w:type="spellStart"/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>Pahl</w:t>
            </w:r>
            <w:proofErr w:type="spellEnd"/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 xml:space="preserve">, </w:t>
            </w:r>
          </w:p>
          <w:p w:rsidR="000C2E46" w:rsidRPr="0031053E" w:rsidRDefault="000C2E46" w:rsidP="00A35B6C">
            <w:pPr>
              <w:pStyle w:val="ListParagraph"/>
              <w:numPr>
                <w:ilvl w:val="0"/>
                <w:numId w:val="42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>Dunne</w:t>
            </w:r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31053E" w:rsidRDefault="000C2E46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31053E" w:rsidRDefault="000C2E46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</w:p>
        </w:tc>
        <w:tc>
          <w:tcPr>
            <w:tcW w:w="386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31053E" w:rsidRDefault="000C2E46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</w:p>
        </w:tc>
      </w:tr>
      <w:tr w:rsidR="000C2E46" w:rsidRPr="0031053E" w:rsidTr="000C2E46"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60BA0" w:rsidRPr="0031053E" w:rsidRDefault="000C2E46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  <w:lastRenderedPageBreak/>
              <w:t xml:space="preserve">Different aspects of relationships, </w:t>
            </w:r>
            <w:proofErr w:type="spellStart"/>
            <w:r w:rsidRPr="0031053E"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  <w:t>eg</w:t>
            </w:r>
            <w:proofErr w:type="spellEnd"/>
            <w:r w:rsidRPr="0031053E"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  <w:t xml:space="preserve"> </w:t>
            </w:r>
          </w:p>
          <w:p w:rsidR="00660BA0" w:rsidRPr="0031053E" w:rsidRDefault="000C2E46" w:rsidP="00A35B6C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  <w:t xml:space="preserve">domestic labour, </w:t>
            </w:r>
          </w:p>
          <w:p w:rsidR="00660BA0" w:rsidRPr="0031053E" w:rsidRDefault="000C2E46" w:rsidP="00A35B6C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  <w:t xml:space="preserve">childcare, </w:t>
            </w:r>
          </w:p>
          <w:p w:rsidR="00660BA0" w:rsidRPr="0031053E" w:rsidRDefault="000C2E46" w:rsidP="00A35B6C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  <w:t xml:space="preserve">domestic violence, </w:t>
            </w:r>
          </w:p>
          <w:p w:rsidR="00660BA0" w:rsidRPr="0031053E" w:rsidRDefault="000C2E46" w:rsidP="00A35B6C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  <w:t xml:space="preserve">finance, </w:t>
            </w:r>
          </w:p>
          <w:p w:rsidR="000C2E46" w:rsidRPr="0031053E" w:rsidRDefault="000C2E46" w:rsidP="00A35B6C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</w:pPr>
            <w:proofErr w:type="gramStart"/>
            <w:r w:rsidRPr="0031053E"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  <w:t>dual</w:t>
            </w:r>
            <w:proofErr w:type="gramEnd"/>
            <w:r w:rsidRPr="0031053E"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  <w:t xml:space="preserve"> burden </w:t>
            </w:r>
            <w:r w:rsidR="00660BA0" w:rsidRPr="0031053E"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  <w:t xml:space="preserve"> /</w:t>
            </w:r>
            <w:r w:rsidRPr="0031053E"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  <w:t>triple shift etc.</w:t>
            </w:r>
          </w:p>
          <w:p w:rsidR="003A5D22" w:rsidRPr="0031053E" w:rsidRDefault="003A5D22" w:rsidP="003A5D22">
            <w:pPr>
              <w:pStyle w:val="ListParagraph"/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</w:pPr>
          </w:p>
          <w:p w:rsidR="00660BA0" w:rsidRPr="0031053E" w:rsidRDefault="000C2E46" w:rsidP="00A35B6C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</w:pPr>
            <w:proofErr w:type="spellStart"/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>Pahl</w:t>
            </w:r>
            <w:proofErr w:type="spellEnd"/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 xml:space="preserve"> and </w:t>
            </w:r>
            <w:proofErr w:type="spellStart"/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>Vogler</w:t>
            </w:r>
            <w:proofErr w:type="spellEnd"/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 xml:space="preserve">, </w:t>
            </w:r>
          </w:p>
          <w:p w:rsidR="00660BA0" w:rsidRPr="0031053E" w:rsidRDefault="000C2E46" w:rsidP="00A35B6C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</w:pPr>
            <w:proofErr w:type="spellStart"/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>Dobash</w:t>
            </w:r>
            <w:proofErr w:type="spellEnd"/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 xml:space="preserve"> and </w:t>
            </w:r>
            <w:proofErr w:type="spellStart"/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>Dobash</w:t>
            </w:r>
            <w:proofErr w:type="spellEnd"/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 xml:space="preserve">, </w:t>
            </w:r>
          </w:p>
          <w:p w:rsidR="000C2E46" w:rsidRPr="0031053E" w:rsidRDefault="000C2E46" w:rsidP="00A35B6C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  <w:proofErr w:type="spellStart"/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>Gershuny</w:t>
            </w:r>
            <w:proofErr w:type="spellEnd"/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31053E" w:rsidRDefault="000C2E46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31053E" w:rsidRDefault="000C2E46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</w:p>
        </w:tc>
        <w:tc>
          <w:tcPr>
            <w:tcW w:w="386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31053E" w:rsidRDefault="000C2E46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</w:p>
        </w:tc>
      </w:tr>
      <w:tr w:rsidR="000C2E46" w:rsidRPr="0031053E" w:rsidTr="003C59B1">
        <w:tc>
          <w:tcPr>
            <w:tcW w:w="5000" w:type="pct"/>
            <w:gridSpan w:val="4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BFBFBF" w:themeFill="background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2E46" w:rsidRPr="0031053E" w:rsidRDefault="000C2E46" w:rsidP="00E51F27">
            <w:pPr>
              <w:pStyle w:val="ListParagraph"/>
              <w:numPr>
                <w:ilvl w:val="0"/>
                <w:numId w:val="89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  <w:t>The nature of childhood, and changes in the status of children in the family and society</w:t>
            </w:r>
          </w:p>
        </w:tc>
      </w:tr>
      <w:tr w:rsidR="000C2E46" w:rsidRPr="0031053E" w:rsidTr="000C2E46">
        <w:trPr>
          <w:trHeight w:val="387"/>
        </w:trPr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2E46" w:rsidRPr="0031053E" w:rsidRDefault="000C2E46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  <w:t>How childhood is socially constructed.</w:t>
            </w:r>
          </w:p>
          <w:p w:rsidR="00660BA0" w:rsidRPr="0031053E" w:rsidRDefault="000C2E46" w:rsidP="00A35B6C">
            <w:pPr>
              <w:pStyle w:val="ListParagraph"/>
              <w:numPr>
                <w:ilvl w:val="0"/>
                <w:numId w:val="44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</w:pPr>
            <w:proofErr w:type="spellStart"/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>Pilcher</w:t>
            </w:r>
            <w:proofErr w:type="spellEnd"/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 xml:space="preserve">, </w:t>
            </w:r>
          </w:p>
          <w:p w:rsidR="00660BA0" w:rsidRPr="0031053E" w:rsidRDefault="000C2E46" w:rsidP="00A35B6C">
            <w:pPr>
              <w:pStyle w:val="ListParagraph"/>
              <w:numPr>
                <w:ilvl w:val="0"/>
                <w:numId w:val="44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 xml:space="preserve">Aries, </w:t>
            </w:r>
          </w:p>
          <w:p w:rsidR="000C2E46" w:rsidRPr="0031053E" w:rsidRDefault="000C2E46" w:rsidP="00A35B6C">
            <w:pPr>
              <w:pStyle w:val="ListParagraph"/>
              <w:numPr>
                <w:ilvl w:val="0"/>
                <w:numId w:val="44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>Wagg</w:t>
            </w:r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31053E" w:rsidRDefault="000C2E46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31053E" w:rsidRDefault="000C2E46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</w:p>
        </w:tc>
        <w:tc>
          <w:tcPr>
            <w:tcW w:w="386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31053E" w:rsidRDefault="000C2E46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</w:p>
        </w:tc>
      </w:tr>
      <w:tr w:rsidR="000C2E46" w:rsidRPr="0031053E" w:rsidTr="000C2E46">
        <w:trPr>
          <w:trHeight w:val="387"/>
        </w:trPr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2E46" w:rsidRPr="0031053E" w:rsidRDefault="000C2E46" w:rsidP="000C2E46">
            <w:p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  <w:t>Different sociological views on the nature and experience of childhood.</w:t>
            </w:r>
          </w:p>
          <w:p w:rsidR="00660BA0" w:rsidRPr="0031053E" w:rsidRDefault="000C2E46" w:rsidP="00A35B6C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 xml:space="preserve">Postman, </w:t>
            </w:r>
          </w:p>
          <w:p w:rsidR="00660BA0" w:rsidRPr="0031053E" w:rsidRDefault="000C2E46" w:rsidP="00A35B6C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 xml:space="preserve">Palmer, </w:t>
            </w:r>
          </w:p>
          <w:p w:rsidR="000C2E46" w:rsidRPr="0031053E" w:rsidRDefault="000C2E46" w:rsidP="00A35B6C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>Womack</w:t>
            </w:r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31053E" w:rsidRDefault="000C2E46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31053E" w:rsidRDefault="000C2E46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</w:p>
        </w:tc>
        <w:tc>
          <w:tcPr>
            <w:tcW w:w="386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31053E" w:rsidRDefault="000C2E46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</w:p>
        </w:tc>
      </w:tr>
      <w:tr w:rsidR="000C2E46" w:rsidRPr="0031053E" w:rsidTr="000C2E46">
        <w:trPr>
          <w:trHeight w:val="387"/>
        </w:trPr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2E46" w:rsidRPr="0031053E" w:rsidRDefault="000C2E46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  <w:t>How childhood is experienced differently across gender, ethnicity and social class.</w:t>
            </w:r>
          </w:p>
          <w:p w:rsidR="00660BA0" w:rsidRPr="0031053E" w:rsidRDefault="000C2E46" w:rsidP="00A35B6C">
            <w:pPr>
              <w:pStyle w:val="ListParagraph"/>
              <w:numPr>
                <w:ilvl w:val="0"/>
                <w:numId w:val="46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</w:pPr>
            <w:proofErr w:type="spellStart"/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>McRobbie</w:t>
            </w:r>
            <w:proofErr w:type="spellEnd"/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 xml:space="preserve"> and Garber, </w:t>
            </w:r>
          </w:p>
          <w:p w:rsidR="00660BA0" w:rsidRPr="0031053E" w:rsidRDefault="000C2E46" w:rsidP="00A35B6C">
            <w:pPr>
              <w:pStyle w:val="ListParagraph"/>
              <w:numPr>
                <w:ilvl w:val="0"/>
                <w:numId w:val="46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</w:pPr>
            <w:proofErr w:type="spellStart"/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>Brannen</w:t>
            </w:r>
            <w:proofErr w:type="spellEnd"/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 xml:space="preserve">, </w:t>
            </w:r>
          </w:p>
          <w:p w:rsidR="000C2E46" w:rsidRPr="0031053E" w:rsidRDefault="000C2E46" w:rsidP="00A35B6C">
            <w:pPr>
              <w:pStyle w:val="ListParagraph"/>
              <w:numPr>
                <w:ilvl w:val="0"/>
                <w:numId w:val="46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>Howard</w:t>
            </w:r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31053E" w:rsidRDefault="000C2E46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31053E" w:rsidRDefault="000C2E46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</w:p>
        </w:tc>
        <w:tc>
          <w:tcPr>
            <w:tcW w:w="386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31053E" w:rsidRDefault="000C2E46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</w:p>
        </w:tc>
      </w:tr>
      <w:tr w:rsidR="000C2E46" w:rsidRPr="0031053E" w:rsidTr="000C2E46">
        <w:trPr>
          <w:trHeight w:val="387"/>
        </w:trPr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2E46" w:rsidRPr="0031053E" w:rsidRDefault="000C2E46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  <w:t>Cross cultural differences and how the experience of childhood has changed historically.</w:t>
            </w:r>
          </w:p>
          <w:p w:rsidR="00660BA0" w:rsidRPr="0031053E" w:rsidRDefault="000C2E46" w:rsidP="00A35B6C">
            <w:pPr>
              <w:pStyle w:val="ListParagraph"/>
              <w:numPr>
                <w:ilvl w:val="0"/>
                <w:numId w:val="47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 xml:space="preserve">Aries, </w:t>
            </w:r>
          </w:p>
          <w:p w:rsidR="00660BA0" w:rsidRPr="0031053E" w:rsidRDefault="000C2E46" w:rsidP="00A35B6C">
            <w:pPr>
              <w:pStyle w:val="ListParagraph"/>
              <w:numPr>
                <w:ilvl w:val="0"/>
                <w:numId w:val="47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 xml:space="preserve">Punch, </w:t>
            </w:r>
          </w:p>
          <w:p w:rsidR="005444AF" w:rsidRPr="0031053E" w:rsidRDefault="000C2E46" w:rsidP="005444AF">
            <w:pPr>
              <w:pStyle w:val="ListParagraph"/>
              <w:numPr>
                <w:ilvl w:val="0"/>
                <w:numId w:val="47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  <w:proofErr w:type="spellStart"/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>Donzelot</w:t>
            </w:r>
            <w:proofErr w:type="spellEnd"/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31053E" w:rsidRDefault="000C2E46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31053E" w:rsidRDefault="000C2E46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</w:p>
        </w:tc>
        <w:tc>
          <w:tcPr>
            <w:tcW w:w="386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31053E" w:rsidRDefault="000C2E46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</w:p>
        </w:tc>
      </w:tr>
      <w:tr w:rsidR="000C2E46" w:rsidRPr="0031053E" w:rsidTr="003C59B1">
        <w:trPr>
          <w:trHeight w:val="387"/>
        </w:trPr>
        <w:tc>
          <w:tcPr>
            <w:tcW w:w="5000" w:type="pct"/>
            <w:gridSpan w:val="4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BFBFBF" w:themeFill="background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2E46" w:rsidRPr="0031053E" w:rsidRDefault="00E51F27" w:rsidP="00E51F27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  <w:t>5. D</w:t>
            </w:r>
            <w:r w:rsidR="000C2E46" w:rsidRPr="0031053E"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  <w:t>emographic trends in the United Kingdom since 1900: birth rates, death rates, family size, life expectancy, ageing population, and migration and globalisation</w:t>
            </w:r>
          </w:p>
        </w:tc>
      </w:tr>
      <w:tr w:rsidR="000C2E46" w:rsidRPr="0031053E" w:rsidTr="000C2E46">
        <w:trPr>
          <w:trHeight w:val="387"/>
        </w:trPr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2E46" w:rsidRPr="0031053E" w:rsidRDefault="000C2E46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  <w:t xml:space="preserve">Sociological debates about the nature, causes and significance of these changes. </w:t>
            </w:r>
          </w:p>
          <w:p w:rsidR="00660BA0" w:rsidRPr="0031053E" w:rsidRDefault="000C2E46" w:rsidP="00A35B6C">
            <w:pPr>
              <w:pStyle w:val="ListParagraph"/>
              <w:numPr>
                <w:ilvl w:val="0"/>
                <w:numId w:val="48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</w:pPr>
            <w:proofErr w:type="spellStart"/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>McKeown</w:t>
            </w:r>
            <w:proofErr w:type="spellEnd"/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 xml:space="preserve">, </w:t>
            </w:r>
          </w:p>
          <w:p w:rsidR="00660BA0" w:rsidRPr="0031053E" w:rsidRDefault="000C2E46" w:rsidP="00A35B6C">
            <w:pPr>
              <w:pStyle w:val="ListParagraph"/>
              <w:numPr>
                <w:ilvl w:val="0"/>
                <w:numId w:val="48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 xml:space="preserve">Hirsch, </w:t>
            </w:r>
          </w:p>
          <w:p w:rsidR="000C2E46" w:rsidRPr="0031053E" w:rsidRDefault="000C2E46" w:rsidP="00A35B6C">
            <w:pPr>
              <w:pStyle w:val="ListParagraph"/>
              <w:numPr>
                <w:ilvl w:val="0"/>
                <w:numId w:val="48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>Townsend</w:t>
            </w:r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31053E" w:rsidRDefault="000C2E46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31053E" w:rsidRDefault="000C2E46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</w:p>
        </w:tc>
        <w:tc>
          <w:tcPr>
            <w:tcW w:w="386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31053E" w:rsidRDefault="000C2E46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</w:p>
        </w:tc>
      </w:tr>
      <w:tr w:rsidR="000C2E46" w:rsidRPr="0031053E" w:rsidTr="000C2E46">
        <w:trPr>
          <w:trHeight w:val="387"/>
        </w:trPr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60BA0" w:rsidRPr="0031053E" w:rsidRDefault="000C2E46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  <w:t xml:space="preserve">How these changes impact on family and households, and also wider society, including concepts such as </w:t>
            </w:r>
          </w:p>
          <w:p w:rsidR="00660BA0" w:rsidRPr="0031053E" w:rsidRDefault="000C2E46" w:rsidP="00A35B6C">
            <w:pPr>
              <w:pStyle w:val="ListParagraph"/>
              <w:numPr>
                <w:ilvl w:val="0"/>
                <w:numId w:val="63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  <w:t xml:space="preserve">net migration, </w:t>
            </w:r>
          </w:p>
          <w:p w:rsidR="00660BA0" w:rsidRPr="0031053E" w:rsidRDefault="000C2E46" w:rsidP="00A35B6C">
            <w:pPr>
              <w:pStyle w:val="ListParagraph"/>
              <w:numPr>
                <w:ilvl w:val="0"/>
                <w:numId w:val="63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  <w:t xml:space="preserve">infant mortality rate and </w:t>
            </w:r>
          </w:p>
          <w:p w:rsidR="000C2E46" w:rsidRPr="0031053E" w:rsidRDefault="000C2E46" w:rsidP="00A35B6C">
            <w:pPr>
              <w:pStyle w:val="ListParagraph"/>
              <w:numPr>
                <w:ilvl w:val="0"/>
                <w:numId w:val="63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</w:pPr>
            <w:proofErr w:type="gramStart"/>
            <w:r w:rsidRPr="0031053E"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  <w:t>fertility</w:t>
            </w:r>
            <w:proofErr w:type="gramEnd"/>
            <w:r w:rsidRPr="0031053E"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  <w:t xml:space="preserve"> rate.</w:t>
            </w:r>
          </w:p>
          <w:p w:rsidR="005444AF" w:rsidRPr="0031053E" w:rsidRDefault="005444AF" w:rsidP="005444AF">
            <w:pPr>
              <w:pStyle w:val="ListParagraph"/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7"/>
                <w:szCs w:val="19"/>
                <w:lang w:eastAsia="en-GB"/>
              </w:rPr>
            </w:pPr>
          </w:p>
          <w:p w:rsidR="00660BA0" w:rsidRPr="0031053E" w:rsidRDefault="000C2E46" w:rsidP="00A35B6C">
            <w:pPr>
              <w:pStyle w:val="ListParagraph"/>
              <w:numPr>
                <w:ilvl w:val="0"/>
                <w:numId w:val="63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 xml:space="preserve">The Griffiths report, </w:t>
            </w:r>
          </w:p>
          <w:p w:rsidR="00660BA0" w:rsidRPr="0031053E" w:rsidRDefault="000C2E46" w:rsidP="00A35B6C">
            <w:pPr>
              <w:pStyle w:val="ListParagraph"/>
              <w:numPr>
                <w:ilvl w:val="0"/>
                <w:numId w:val="63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</w:pPr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>Picher,</w:t>
            </w:r>
          </w:p>
          <w:p w:rsidR="000C2E46" w:rsidRPr="0031053E" w:rsidRDefault="000C2E46" w:rsidP="00A35B6C">
            <w:pPr>
              <w:pStyle w:val="ListParagraph"/>
              <w:numPr>
                <w:ilvl w:val="0"/>
                <w:numId w:val="63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  <w:proofErr w:type="spellStart"/>
            <w:r w:rsidRPr="0031053E">
              <w:rPr>
                <w:rFonts w:ascii="Helvetica" w:eastAsia="Times New Roman" w:hAnsi="Helvetica" w:cs="Helvetica"/>
                <w:bCs/>
                <w:color w:val="4C4C4B"/>
                <w:sz w:val="17"/>
                <w:szCs w:val="19"/>
                <w:lang w:eastAsia="en-GB"/>
              </w:rPr>
              <w:t>Blaikie</w:t>
            </w:r>
            <w:proofErr w:type="spellEnd"/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31053E" w:rsidRDefault="000C2E46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31053E" w:rsidRDefault="000C2E46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</w:p>
        </w:tc>
        <w:tc>
          <w:tcPr>
            <w:tcW w:w="386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31053E" w:rsidRDefault="000C2E46" w:rsidP="000C2E46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7"/>
                <w:szCs w:val="19"/>
                <w:lang w:eastAsia="en-GB"/>
              </w:rPr>
            </w:pPr>
          </w:p>
        </w:tc>
      </w:tr>
    </w:tbl>
    <w:p w:rsidR="008B7E02" w:rsidRDefault="008B7E02" w:rsidP="00E51F27">
      <w:bookmarkStart w:id="0" w:name="_GoBack"/>
      <w:bookmarkEnd w:id="0"/>
    </w:p>
    <w:sectPr w:rsidR="008B7E02" w:rsidSect="008B7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ChevinMedium">
    <w:altName w:val="Times New Roman"/>
    <w:charset w:val="00"/>
    <w:family w:val="auto"/>
    <w:pitch w:val="default"/>
  </w:font>
  <w:font w:name="AQAChevinDemiBold">
    <w:altName w:val="Times New Roman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28A"/>
    <w:multiLevelType w:val="hybridMultilevel"/>
    <w:tmpl w:val="9F74A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05689"/>
    <w:multiLevelType w:val="hybridMultilevel"/>
    <w:tmpl w:val="39526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95DBA"/>
    <w:multiLevelType w:val="hybridMultilevel"/>
    <w:tmpl w:val="02B41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815B1"/>
    <w:multiLevelType w:val="hybridMultilevel"/>
    <w:tmpl w:val="BB123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62168"/>
    <w:multiLevelType w:val="hybridMultilevel"/>
    <w:tmpl w:val="862E0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E10A98"/>
    <w:multiLevelType w:val="hybridMultilevel"/>
    <w:tmpl w:val="1E448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0465F2"/>
    <w:multiLevelType w:val="hybridMultilevel"/>
    <w:tmpl w:val="7FFC6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C82735"/>
    <w:multiLevelType w:val="hybridMultilevel"/>
    <w:tmpl w:val="91E44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ED3BF0"/>
    <w:multiLevelType w:val="hybridMultilevel"/>
    <w:tmpl w:val="5F6C3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7F31D6"/>
    <w:multiLevelType w:val="hybridMultilevel"/>
    <w:tmpl w:val="1F36C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8A686A"/>
    <w:multiLevelType w:val="hybridMultilevel"/>
    <w:tmpl w:val="E8D28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976107"/>
    <w:multiLevelType w:val="hybridMultilevel"/>
    <w:tmpl w:val="29064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206AD2"/>
    <w:multiLevelType w:val="hybridMultilevel"/>
    <w:tmpl w:val="8EB2A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2C4CCE"/>
    <w:multiLevelType w:val="hybridMultilevel"/>
    <w:tmpl w:val="FCC6C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597970"/>
    <w:multiLevelType w:val="hybridMultilevel"/>
    <w:tmpl w:val="04F0E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C60C6D"/>
    <w:multiLevelType w:val="hybridMultilevel"/>
    <w:tmpl w:val="C45A4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C36C9A"/>
    <w:multiLevelType w:val="hybridMultilevel"/>
    <w:tmpl w:val="30302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B32A66"/>
    <w:multiLevelType w:val="hybridMultilevel"/>
    <w:tmpl w:val="8C96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205F0F"/>
    <w:multiLevelType w:val="hybridMultilevel"/>
    <w:tmpl w:val="FF52A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BE171A"/>
    <w:multiLevelType w:val="hybridMultilevel"/>
    <w:tmpl w:val="D940F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522BF0"/>
    <w:multiLevelType w:val="multilevel"/>
    <w:tmpl w:val="932E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CDE3A23"/>
    <w:multiLevelType w:val="multilevel"/>
    <w:tmpl w:val="2EB2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DCD73FC"/>
    <w:multiLevelType w:val="hybridMultilevel"/>
    <w:tmpl w:val="EEC80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E357A5"/>
    <w:multiLevelType w:val="hybridMultilevel"/>
    <w:tmpl w:val="38D47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623E9E"/>
    <w:multiLevelType w:val="hybridMultilevel"/>
    <w:tmpl w:val="23A00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CC29DD"/>
    <w:multiLevelType w:val="hybridMultilevel"/>
    <w:tmpl w:val="C0A4D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CE1D58"/>
    <w:multiLevelType w:val="hybridMultilevel"/>
    <w:tmpl w:val="FF74B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1B5FC6"/>
    <w:multiLevelType w:val="hybridMultilevel"/>
    <w:tmpl w:val="42AAD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6E11EE"/>
    <w:multiLevelType w:val="hybridMultilevel"/>
    <w:tmpl w:val="F00A6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471AF4"/>
    <w:multiLevelType w:val="hybridMultilevel"/>
    <w:tmpl w:val="7D4EB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AB21815"/>
    <w:multiLevelType w:val="hybridMultilevel"/>
    <w:tmpl w:val="19D0A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C13F89"/>
    <w:multiLevelType w:val="hybridMultilevel"/>
    <w:tmpl w:val="5A0AB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BE70B63"/>
    <w:multiLevelType w:val="hybridMultilevel"/>
    <w:tmpl w:val="0A64D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CFB66C1"/>
    <w:multiLevelType w:val="hybridMultilevel"/>
    <w:tmpl w:val="8BC0A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9A2F68"/>
    <w:multiLevelType w:val="hybridMultilevel"/>
    <w:tmpl w:val="B6B26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DA426CE"/>
    <w:multiLevelType w:val="hybridMultilevel"/>
    <w:tmpl w:val="53460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DD6E9A"/>
    <w:multiLevelType w:val="hybridMultilevel"/>
    <w:tmpl w:val="D6089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2D4166"/>
    <w:multiLevelType w:val="hybridMultilevel"/>
    <w:tmpl w:val="38BC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3AF0F36"/>
    <w:multiLevelType w:val="hybridMultilevel"/>
    <w:tmpl w:val="70CA5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CD6D05"/>
    <w:multiLevelType w:val="hybridMultilevel"/>
    <w:tmpl w:val="2E9A4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4514F47"/>
    <w:multiLevelType w:val="hybridMultilevel"/>
    <w:tmpl w:val="260C1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6534E0F"/>
    <w:multiLevelType w:val="hybridMultilevel"/>
    <w:tmpl w:val="CD8E6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6772A74"/>
    <w:multiLevelType w:val="hybridMultilevel"/>
    <w:tmpl w:val="B3B6B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7823584"/>
    <w:multiLevelType w:val="hybridMultilevel"/>
    <w:tmpl w:val="7E3E73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39D03099"/>
    <w:multiLevelType w:val="hybridMultilevel"/>
    <w:tmpl w:val="38D81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AC72817"/>
    <w:multiLevelType w:val="hybridMultilevel"/>
    <w:tmpl w:val="CD68B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B5D2B3E"/>
    <w:multiLevelType w:val="hybridMultilevel"/>
    <w:tmpl w:val="942CD31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B775B6"/>
    <w:multiLevelType w:val="hybridMultilevel"/>
    <w:tmpl w:val="40D24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CC2145F"/>
    <w:multiLevelType w:val="hybridMultilevel"/>
    <w:tmpl w:val="70247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CF23E62"/>
    <w:multiLevelType w:val="hybridMultilevel"/>
    <w:tmpl w:val="CFA22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FF44367"/>
    <w:multiLevelType w:val="hybridMultilevel"/>
    <w:tmpl w:val="AB4AC6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2185887"/>
    <w:multiLevelType w:val="hybridMultilevel"/>
    <w:tmpl w:val="19BE1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2BE2FF3"/>
    <w:multiLevelType w:val="hybridMultilevel"/>
    <w:tmpl w:val="8034B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92551C0"/>
    <w:multiLevelType w:val="hybridMultilevel"/>
    <w:tmpl w:val="17B61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94D57E4"/>
    <w:multiLevelType w:val="hybridMultilevel"/>
    <w:tmpl w:val="04D24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CF63ACF"/>
    <w:multiLevelType w:val="hybridMultilevel"/>
    <w:tmpl w:val="A2983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D895777"/>
    <w:multiLevelType w:val="hybridMultilevel"/>
    <w:tmpl w:val="88D02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EAB316C"/>
    <w:multiLevelType w:val="hybridMultilevel"/>
    <w:tmpl w:val="18805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F2A52FF"/>
    <w:multiLevelType w:val="hybridMultilevel"/>
    <w:tmpl w:val="8D043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F303C14"/>
    <w:multiLevelType w:val="hybridMultilevel"/>
    <w:tmpl w:val="FFC6D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F8B5CFB"/>
    <w:multiLevelType w:val="hybridMultilevel"/>
    <w:tmpl w:val="ADE0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33B4E28"/>
    <w:multiLevelType w:val="hybridMultilevel"/>
    <w:tmpl w:val="5A587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6C2E74"/>
    <w:multiLevelType w:val="hybridMultilevel"/>
    <w:tmpl w:val="C0EA7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5AB5580"/>
    <w:multiLevelType w:val="multilevel"/>
    <w:tmpl w:val="5E34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7895FA0"/>
    <w:multiLevelType w:val="hybridMultilevel"/>
    <w:tmpl w:val="81947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A7A3B12"/>
    <w:multiLevelType w:val="hybridMultilevel"/>
    <w:tmpl w:val="DF58B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BA504F2"/>
    <w:multiLevelType w:val="hybridMultilevel"/>
    <w:tmpl w:val="D9425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D2770A5"/>
    <w:multiLevelType w:val="hybridMultilevel"/>
    <w:tmpl w:val="952C5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E5C3DF1"/>
    <w:multiLevelType w:val="hybridMultilevel"/>
    <w:tmpl w:val="24100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EBA452E"/>
    <w:multiLevelType w:val="hybridMultilevel"/>
    <w:tmpl w:val="54908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F6A1FE0"/>
    <w:multiLevelType w:val="hybridMultilevel"/>
    <w:tmpl w:val="F808E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0421CC7"/>
    <w:multiLevelType w:val="hybridMultilevel"/>
    <w:tmpl w:val="9DAE921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0C77327"/>
    <w:multiLevelType w:val="multilevel"/>
    <w:tmpl w:val="331A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0D64CFA"/>
    <w:multiLevelType w:val="hybridMultilevel"/>
    <w:tmpl w:val="C030A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3894AA3"/>
    <w:multiLevelType w:val="multilevel"/>
    <w:tmpl w:val="2EB89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5">
    <w:nsid w:val="638A7C1D"/>
    <w:multiLevelType w:val="hybridMultilevel"/>
    <w:tmpl w:val="8D1E4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B4346CC"/>
    <w:multiLevelType w:val="multilevel"/>
    <w:tmpl w:val="819A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BD773C8"/>
    <w:multiLevelType w:val="hybridMultilevel"/>
    <w:tmpl w:val="31E8F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CE26845"/>
    <w:multiLevelType w:val="hybridMultilevel"/>
    <w:tmpl w:val="D638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DD14BAA"/>
    <w:multiLevelType w:val="hybridMultilevel"/>
    <w:tmpl w:val="DDFA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2AE5775"/>
    <w:multiLevelType w:val="hybridMultilevel"/>
    <w:tmpl w:val="CAACB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2D763B8"/>
    <w:multiLevelType w:val="hybridMultilevel"/>
    <w:tmpl w:val="CE24D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3F13545"/>
    <w:multiLevelType w:val="hybridMultilevel"/>
    <w:tmpl w:val="90707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45B1A4C"/>
    <w:multiLevelType w:val="multilevel"/>
    <w:tmpl w:val="1766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68A6C92"/>
    <w:multiLevelType w:val="hybridMultilevel"/>
    <w:tmpl w:val="BC06C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6F3074A"/>
    <w:multiLevelType w:val="hybridMultilevel"/>
    <w:tmpl w:val="98FC6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8CE5054"/>
    <w:multiLevelType w:val="hybridMultilevel"/>
    <w:tmpl w:val="F90CD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9CA108A"/>
    <w:multiLevelType w:val="hybridMultilevel"/>
    <w:tmpl w:val="62528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B802963"/>
    <w:multiLevelType w:val="hybridMultilevel"/>
    <w:tmpl w:val="FA263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CCD13A2"/>
    <w:multiLevelType w:val="hybridMultilevel"/>
    <w:tmpl w:val="C7D49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72"/>
  </w:num>
  <w:num w:numId="3">
    <w:abstractNumId w:val="82"/>
  </w:num>
  <w:num w:numId="4">
    <w:abstractNumId w:val="66"/>
  </w:num>
  <w:num w:numId="5">
    <w:abstractNumId w:val="11"/>
  </w:num>
  <w:num w:numId="6">
    <w:abstractNumId w:val="55"/>
  </w:num>
  <w:num w:numId="7">
    <w:abstractNumId w:val="29"/>
  </w:num>
  <w:num w:numId="8">
    <w:abstractNumId w:val="75"/>
  </w:num>
  <w:num w:numId="9">
    <w:abstractNumId w:val="13"/>
  </w:num>
  <w:num w:numId="10">
    <w:abstractNumId w:val="62"/>
  </w:num>
  <w:num w:numId="11">
    <w:abstractNumId w:val="18"/>
  </w:num>
  <w:num w:numId="12">
    <w:abstractNumId w:val="50"/>
  </w:num>
  <w:num w:numId="13">
    <w:abstractNumId w:val="3"/>
  </w:num>
  <w:num w:numId="14">
    <w:abstractNumId w:val="86"/>
  </w:num>
  <w:num w:numId="15">
    <w:abstractNumId w:val="58"/>
  </w:num>
  <w:num w:numId="16">
    <w:abstractNumId w:val="73"/>
  </w:num>
  <w:num w:numId="17">
    <w:abstractNumId w:val="81"/>
  </w:num>
  <w:num w:numId="18">
    <w:abstractNumId w:val="19"/>
  </w:num>
  <w:num w:numId="19">
    <w:abstractNumId w:val="87"/>
  </w:num>
  <w:num w:numId="20">
    <w:abstractNumId w:val="38"/>
  </w:num>
  <w:num w:numId="21">
    <w:abstractNumId w:val="25"/>
  </w:num>
  <w:num w:numId="22">
    <w:abstractNumId w:val="35"/>
  </w:num>
  <w:num w:numId="23">
    <w:abstractNumId w:val="83"/>
  </w:num>
  <w:num w:numId="24">
    <w:abstractNumId w:val="21"/>
  </w:num>
  <w:num w:numId="25">
    <w:abstractNumId w:val="26"/>
  </w:num>
  <w:num w:numId="26">
    <w:abstractNumId w:val="43"/>
  </w:num>
  <w:num w:numId="27">
    <w:abstractNumId w:val="74"/>
  </w:num>
  <w:num w:numId="28">
    <w:abstractNumId w:val="76"/>
  </w:num>
  <w:num w:numId="29">
    <w:abstractNumId w:val="20"/>
  </w:num>
  <w:num w:numId="30">
    <w:abstractNumId w:val="16"/>
  </w:num>
  <w:num w:numId="31">
    <w:abstractNumId w:val="0"/>
  </w:num>
  <w:num w:numId="32">
    <w:abstractNumId w:val="60"/>
  </w:num>
  <w:num w:numId="33">
    <w:abstractNumId w:val="68"/>
  </w:num>
  <w:num w:numId="34">
    <w:abstractNumId w:val="10"/>
  </w:num>
  <w:num w:numId="35">
    <w:abstractNumId w:val="70"/>
  </w:num>
  <w:num w:numId="36">
    <w:abstractNumId w:val="65"/>
  </w:num>
  <w:num w:numId="37">
    <w:abstractNumId w:val="27"/>
  </w:num>
  <w:num w:numId="38">
    <w:abstractNumId w:val="4"/>
  </w:num>
  <w:num w:numId="39">
    <w:abstractNumId w:val="45"/>
  </w:num>
  <w:num w:numId="40">
    <w:abstractNumId w:val="89"/>
  </w:num>
  <w:num w:numId="41">
    <w:abstractNumId w:val="85"/>
  </w:num>
  <w:num w:numId="42">
    <w:abstractNumId w:val="31"/>
  </w:num>
  <w:num w:numId="43">
    <w:abstractNumId w:val="8"/>
  </w:num>
  <w:num w:numId="44">
    <w:abstractNumId w:val="32"/>
  </w:num>
  <w:num w:numId="45">
    <w:abstractNumId w:val="30"/>
  </w:num>
  <w:num w:numId="46">
    <w:abstractNumId w:val="88"/>
  </w:num>
  <w:num w:numId="47">
    <w:abstractNumId w:val="33"/>
  </w:num>
  <w:num w:numId="48">
    <w:abstractNumId w:val="41"/>
  </w:num>
  <w:num w:numId="49">
    <w:abstractNumId w:val="57"/>
  </w:num>
  <w:num w:numId="50">
    <w:abstractNumId w:val="15"/>
  </w:num>
  <w:num w:numId="51">
    <w:abstractNumId w:val="53"/>
  </w:num>
  <w:num w:numId="52">
    <w:abstractNumId w:val="39"/>
  </w:num>
  <w:num w:numId="53">
    <w:abstractNumId w:val="80"/>
  </w:num>
  <w:num w:numId="54">
    <w:abstractNumId w:val="67"/>
  </w:num>
  <w:num w:numId="55">
    <w:abstractNumId w:val="56"/>
  </w:num>
  <w:num w:numId="56">
    <w:abstractNumId w:val="37"/>
  </w:num>
  <w:num w:numId="57">
    <w:abstractNumId w:val="59"/>
  </w:num>
  <w:num w:numId="58">
    <w:abstractNumId w:val="48"/>
  </w:num>
  <w:num w:numId="59">
    <w:abstractNumId w:val="5"/>
  </w:num>
  <w:num w:numId="60">
    <w:abstractNumId w:val="51"/>
  </w:num>
  <w:num w:numId="61">
    <w:abstractNumId w:val="17"/>
  </w:num>
  <w:num w:numId="62">
    <w:abstractNumId w:val="12"/>
  </w:num>
  <w:num w:numId="63">
    <w:abstractNumId w:val="52"/>
  </w:num>
  <w:num w:numId="64">
    <w:abstractNumId w:val="44"/>
  </w:num>
  <w:num w:numId="65">
    <w:abstractNumId w:val="79"/>
  </w:num>
  <w:num w:numId="66">
    <w:abstractNumId w:val="6"/>
  </w:num>
  <w:num w:numId="67">
    <w:abstractNumId w:val="40"/>
  </w:num>
  <w:num w:numId="68">
    <w:abstractNumId w:val="64"/>
  </w:num>
  <w:num w:numId="69">
    <w:abstractNumId w:val="47"/>
  </w:num>
  <w:num w:numId="70">
    <w:abstractNumId w:val="49"/>
  </w:num>
  <w:num w:numId="71">
    <w:abstractNumId w:val="1"/>
  </w:num>
  <w:num w:numId="72">
    <w:abstractNumId w:val="42"/>
  </w:num>
  <w:num w:numId="73">
    <w:abstractNumId w:val="28"/>
  </w:num>
  <w:num w:numId="74">
    <w:abstractNumId w:val="23"/>
  </w:num>
  <w:num w:numId="75">
    <w:abstractNumId w:val="84"/>
  </w:num>
  <w:num w:numId="76">
    <w:abstractNumId w:val="78"/>
  </w:num>
  <w:num w:numId="77">
    <w:abstractNumId w:val="24"/>
  </w:num>
  <w:num w:numId="78">
    <w:abstractNumId w:val="2"/>
  </w:num>
  <w:num w:numId="79">
    <w:abstractNumId w:val="54"/>
  </w:num>
  <w:num w:numId="80">
    <w:abstractNumId w:val="14"/>
  </w:num>
  <w:num w:numId="81">
    <w:abstractNumId w:val="69"/>
  </w:num>
  <w:num w:numId="82">
    <w:abstractNumId w:val="77"/>
  </w:num>
  <w:num w:numId="83">
    <w:abstractNumId w:val="34"/>
  </w:num>
  <w:num w:numId="84">
    <w:abstractNumId w:val="36"/>
  </w:num>
  <w:num w:numId="85">
    <w:abstractNumId w:val="7"/>
  </w:num>
  <w:num w:numId="86">
    <w:abstractNumId w:val="61"/>
  </w:num>
  <w:num w:numId="87">
    <w:abstractNumId w:val="9"/>
  </w:num>
  <w:num w:numId="88">
    <w:abstractNumId w:val="22"/>
  </w:num>
  <w:num w:numId="89">
    <w:abstractNumId w:val="46"/>
  </w:num>
  <w:num w:numId="90">
    <w:abstractNumId w:val="7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02"/>
    <w:rsid w:val="000C2E46"/>
    <w:rsid w:val="000F0BD1"/>
    <w:rsid w:val="001B4483"/>
    <w:rsid w:val="002A4696"/>
    <w:rsid w:val="002F6D7A"/>
    <w:rsid w:val="0031053E"/>
    <w:rsid w:val="003A5D22"/>
    <w:rsid w:val="003C0D5B"/>
    <w:rsid w:val="003C59B1"/>
    <w:rsid w:val="005444AF"/>
    <w:rsid w:val="0057557A"/>
    <w:rsid w:val="00660BA0"/>
    <w:rsid w:val="006A4C6E"/>
    <w:rsid w:val="007C5E1A"/>
    <w:rsid w:val="008B7E02"/>
    <w:rsid w:val="00A33017"/>
    <w:rsid w:val="00A35B6C"/>
    <w:rsid w:val="00B44469"/>
    <w:rsid w:val="00BA7F37"/>
    <w:rsid w:val="00BE11B5"/>
    <w:rsid w:val="00C95ADC"/>
    <w:rsid w:val="00D93906"/>
    <w:rsid w:val="00E51F27"/>
    <w:rsid w:val="00EF0EA7"/>
    <w:rsid w:val="00F9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7E02"/>
    <w:pPr>
      <w:spacing w:after="192" w:line="240" w:lineRule="auto"/>
      <w:outlineLvl w:val="0"/>
    </w:pPr>
    <w:rPr>
      <w:rFonts w:ascii="AQAChevinMedium" w:eastAsia="Times New Roman" w:hAnsi="AQAChevinMedium" w:cs="Times New Roman"/>
      <w:color w:val="412878"/>
      <w:kern w:val="36"/>
      <w:sz w:val="66"/>
      <w:szCs w:val="66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B7E02"/>
    <w:pPr>
      <w:spacing w:before="240" w:after="180" w:line="240" w:lineRule="auto"/>
      <w:outlineLvl w:val="1"/>
    </w:pPr>
    <w:rPr>
      <w:rFonts w:ascii="AQAChevinDemiBold" w:eastAsia="Times New Roman" w:hAnsi="AQAChevinDemiBold" w:cs="Times New Roman"/>
      <w:color w:val="412878"/>
      <w:sz w:val="39"/>
      <w:szCs w:val="3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E02"/>
    <w:rPr>
      <w:rFonts w:ascii="AQAChevinMedium" w:eastAsia="Times New Roman" w:hAnsi="AQAChevinMedium" w:cs="Times New Roman"/>
      <w:color w:val="412878"/>
      <w:kern w:val="36"/>
      <w:sz w:val="66"/>
      <w:szCs w:val="6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B7E02"/>
    <w:rPr>
      <w:rFonts w:ascii="AQAChevinDemiBold" w:eastAsia="Times New Roman" w:hAnsi="AQAChevinDemiBold" w:cs="Times New Roman"/>
      <w:color w:val="412878"/>
      <w:sz w:val="39"/>
      <w:szCs w:val="39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B7E02"/>
    <w:rPr>
      <w:strike w:val="0"/>
      <w:dstrike w:val="0"/>
      <w:color w:val="2F71A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B7E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7E02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wrap">
    <w:name w:val="nowrap"/>
    <w:basedOn w:val="Normal"/>
    <w:rsid w:val="008B7E02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ta11y">
    <w:name w:val="at_a11y"/>
    <w:basedOn w:val="DefaultParagraphFont"/>
    <w:rsid w:val="008B7E02"/>
  </w:style>
  <w:style w:type="character" w:customStyle="1" w:styleId="credit2">
    <w:name w:val="credit2"/>
    <w:basedOn w:val="DefaultParagraphFont"/>
    <w:rsid w:val="008B7E02"/>
  </w:style>
  <w:style w:type="paragraph" w:styleId="ListParagraph">
    <w:name w:val="List Paragraph"/>
    <w:basedOn w:val="Normal"/>
    <w:uiPriority w:val="34"/>
    <w:qFormat/>
    <w:rsid w:val="00BE1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7E02"/>
    <w:pPr>
      <w:spacing w:after="192" w:line="240" w:lineRule="auto"/>
      <w:outlineLvl w:val="0"/>
    </w:pPr>
    <w:rPr>
      <w:rFonts w:ascii="AQAChevinMedium" w:eastAsia="Times New Roman" w:hAnsi="AQAChevinMedium" w:cs="Times New Roman"/>
      <w:color w:val="412878"/>
      <w:kern w:val="36"/>
      <w:sz w:val="66"/>
      <w:szCs w:val="66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B7E02"/>
    <w:pPr>
      <w:spacing w:before="240" w:after="180" w:line="240" w:lineRule="auto"/>
      <w:outlineLvl w:val="1"/>
    </w:pPr>
    <w:rPr>
      <w:rFonts w:ascii="AQAChevinDemiBold" w:eastAsia="Times New Roman" w:hAnsi="AQAChevinDemiBold" w:cs="Times New Roman"/>
      <w:color w:val="412878"/>
      <w:sz w:val="39"/>
      <w:szCs w:val="3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E02"/>
    <w:rPr>
      <w:rFonts w:ascii="AQAChevinMedium" w:eastAsia="Times New Roman" w:hAnsi="AQAChevinMedium" w:cs="Times New Roman"/>
      <w:color w:val="412878"/>
      <w:kern w:val="36"/>
      <w:sz w:val="66"/>
      <w:szCs w:val="6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B7E02"/>
    <w:rPr>
      <w:rFonts w:ascii="AQAChevinDemiBold" w:eastAsia="Times New Roman" w:hAnsi="AQAChevinDemiBold" w:cs="Times New Roman"/>
      <w:color w:val="412878"/>
      <w:sz w:val="39"/>
      <w:szCs w:val="39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B7E02"/>
    <w:rPr>
      <w:strike w:val="0"/>
      <w:dstrike w:val="0"/>
      <w:color w:val="2F71A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B7E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7E02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wrap">
    <w:name w:val="nowrap"/>
    <w:basedOn w:val="Normal"/>
    <w:rsid w:val="008B7E02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ta11y">
    <w:name w:val="at_a11y"/>
    <w:basedOn w:val="DefaultParagraphFont"/>
    <w:rsid w:val="008B7E02"/>
  </w:style>
  <w:style w:type="character" w:customStyle="1" w:styleId="credit2">
    <w:name w:val="credit2"/>
    <w:basedOn w:val="DefaultParagraphFont"/>
    <w:rsid w:val="008B7E02"/>
  </w:style>
  <w:style w:type="paragraph" w:styleId="ListParagraph">
    <w:name w:val="List Paragraph"/>
    <w:basedOn w:val="Normal"/>
    <w:uiPriority w:val="34"/>
    <w:qFormat/>
    <w:rsid w:val="00BE1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51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15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8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95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9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56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04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2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3" w:color="EDEDED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681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24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415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91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4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05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08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66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50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73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35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9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78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71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0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6118163">
                  <w:marLeft w:val="0"/>
                  <w:marRight w:val="0"/>
                  <w:marTop w:val="0"/>
                  <w:marBottom w:val="750"/>
                  <w:divBdr>
                    <w:top w:val="single" w:sz="12" w:space="15" w:color="E4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5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252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18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5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3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1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53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3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82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41938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36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66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52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559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217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282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374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6927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4706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657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6017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933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5256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3166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9392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8E348-349B-4AAA-80CE-DEBC1493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Augustine's Catholic College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ERYL SIMPSON</dc:creator>
  <cp:lastModifiedBy>ERYL SIMPSON</cp:lastModifiedBy>
  <cp:revision>4</cp:revision>
  <dcterms:created xsi:type="dcterms:W3CDTF">2015-06-23T11:14:00Z</dcterms:created>
  <dcterms:modified xsi:type="dcterms:W3CDTF">2015-06-23T11:37:00Z</dcterms:modified>
</cp:coreProperties>
</file>