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9446"/>
      </w:tblGrid>
      <w:tr w:rsidR="006634AC" w:rsidRPr="00BC4749">
        <w:tc>
          <w:tcPr>
            <w:tcW w:w="15614" w:type="dxa"/>
            <w:gridSpan w:val="2"/>
          </w:tcPr>
          <w:p w:rsidR="006634AC" w:rsidRPr="00BC4749" w:rsidRDefault="006634AC" w:rsidP="000F5510">
            <w:pPr>
              <w:spacing w:after="0" w:line="240" w:lineRule="auto"/>
              <w:jc w:val="center"/>
              <w:rPr>
                <w:b/>
                <w:bCs/>
                <w:sz w:val="19"/>
                <w:szCs w:val="19"/>
              </w:rPr>
            </w:pPr>
            <w:r w:rsidRPr="00BC4749">
              <w:rPr>
                <w:b/>
                <w:bCs/>
                <w:sz w:val="19"/>
                <w:szCs w:val="19"/>
              </w:rPr>
              <w:t xml:space="preserve">LT4: </w:t>
            </w:r>
            <w:r w:rsidR="000F5510" w:rsidRPr="00BC4749">
              <w:rPr>
                <w:b/>
                <w:bCs/>
                <w:i/>
                <w:iCs/>
                <w:sz w:val="19"/>
                <w:szCs w:val="19"/>
              </w:rPr>
              <w:t>Cross Cultural Differences in Attachment</w:t>
            </w:r>
          </w:p>
        </w:tc>
      </w:tr>
      <w:tr w:rsidR="006634AC" w:rsidRPr="00BC4749">
        <w:tc>
          <w:tcPr>
            <w:tcW w:w="15614" w:type="dxa"/>
            <w:gridSpan w:val="2"/>
          </w:tcPr>
          <w:p w:rsidR="006634AC" w:rsidRPr="00BC4749" w:rsidRDefault="006634AC" w:rsidP="00401219">
            <w:pPr>
              <w:spacing w:after="0" w:line="240" w:lineRule="auto"/>
              <w:jc w:val="center"/>
              <w:rPr>
                <w:sz w:val="19"/>
                <w:szCs w:val="19"/>
              </w:rPr>
            </w:pPr>
            <w:r w:rsidRPr="00BC4749">
              <w:rPr>
                <w:sz w:val="19"/>
                <w:szCs w:val="19"/>
              </w:rPr>
              <w:t>The strange situation has been repeated in many different countries to see to what extent attachment behaviour is due to nature or nurture.</w:t>
            </w:r>
          </w:p>
        </w:tc>
      </w:tr>
      <w:tr w:rsidR="006634AC" w:rsidRPr="00BC4749" w:rsidTr="00A677C1">
        <w:tc>
          <w:tcPr>
            <w:tcW w:w="6168" w:type="dxa"/>
          </w:tcPr>
          <w:p w:rsidR="006634AC" w:rsidRPr="00BC4749" w:rsidRDefault="006634AC" w:rsidP="00401219">
            <w:pPr>
              <w:spacing w:after="0" w:line="240" w:lineRule="auto"/>
              <w:jc w:val="center"/>
              <w:rPr>
                <w:b/>
                <w:bCs/>
                <w:sz w:val="19"/>
                <w:szCs w:val="19"/>
              </w:rPr>
            </w:pPr>
            <w:r w:rsidRPr="00BC4749">
              <w:rPr>
                <w:b/>
                <w:bCs/>
                <w:sz w:val="19"/>
                <w:szCs w:val="19"/>
              </w:rPr>
              <w:t>AO1 (Knowledge and Understanding)</w:t>
            </w:r>
          </w:p>
        </w:tc>
        <w:tc>
          <w:tcPr>
            <w:tcW w:w="9446" w:type="dxa"/>
          </w:tcPr>
          <w:p w:rsidR="006634AC" w:rsidRPr="00BC4749" w:rsidRDefault="006634AC" w:rsidP="00273C53">
            <w:pPr>
              <w:spacing w:after="0" w:line="240" w:lineRule="auto"/>
              <w:jc w:val="center"/>
              <w:rPr>
                <w:b/>
                <w:bCs/>
                <w:sz w:val="19"/>
                <w:szCs w:val="19"/>
              </w:rPr>
            </w:pPr>
            <w:r w:rsidRPr="00BC4749">
              <w:rPr>
                <w:b/>
                <w:bCs/>
                <w:sz w:val="19"/>
                <w:szCs w:val="19"/>
              </w:rPr>
              <w:t>A0</w:t>
            </w:r>
            <w:r w:rsidR="00273C53" w:rsidRPr="00BC4749">
              <w:rPr>
                <w:b/>
                <w:bCs/>
                <w:sz w:val="19"/>
                <w:szCs w:val="19"/>
              </w:rPr>
              <w:t>3</w:t>
            </w:r>
            <w:r w:rsidRPr="00BC4749">
              <w:rPr>
                <w:b/>
                <w:bCs/>
                <w:sz w:val="19"/>
                <w:szCs w:val="19"/>
              </w:rPr>
              <w:t xml:space="preserve"> (Evaluation)</w:t>
            </w:r>
          </w:p>
        </w:tc>
      </w:tr>
      <w:tr w:rsidR="006634AC" w:rsidRPr="00BC4749" w:rsidTr="00A677C1">
        <w:tc>
          <w:tcPr>
            <w:tcW w:w="6168" w:type="dxa"/>
          </w:tcPr>
          <w:p w:rsidR="006634AC" w:rsidRPr="009F3DD3" w:rsidRDefault="006634AC" w:rsidP="00401219">
            <w:pPr>
              <w:spacing w:after="0" w:line="240" w:lineRule="auto"/>
              <w:rPr>
                <w:b/>
                <w:sz w:val="19"/>
                <w:szCs w:val="19"/>
                <w:u w:val="single"/>
              </w:rPr>
            </w:pPr>
            <w:r w:rsidRPr="009F3DD3">
              <w:rPr>
                <w:b/>
                <w:sz w:val="19"/>
                <w:szCs w:val="19"/>
                <w:u w:val="single"/>
              </w:rPr>
              <w:t xml:space="preserve">Van </w:t>
            </w:r>
            <w:proofErr w:type="spellStart"/>
            <w:r w:rsidRPr="009F3DD3">
              <w:rPr>
                <w:b/>
                <w:sz w:val="19"/>
                <w:szCs w:val="19"/>
                <w:u w:val="single"/>
              </w:rPr>
              <w:t>Ijzendoorn</w:t>
            </w:r>
            <w:proofErr w:type="spellEnd"/>
            <w:r w:rsidRPr="009F3DD3">
              <w:rPr>
                <w:b/>
                <w:sz w:val="19"/>
                <w:szCs w:val="19"/>
                <w:u w:val="single"/>
              </w:rPr>
              <w:t xml:space="preserve"> and </w:t>
            </w:r>
            <w:proofErr w:type="spellStart"/>
            <w:r w:rsidRPr="009F3DD3">
              <w:rPr>
                <w:b/>
                <w:sz w:val="19"/>
                <w:szCs w:val="19"/>
                <w:u w:val="single"/>
              </w:rPr>
              <w:t>Kroonenberg</w:t>
            </w:r>
            <w:proofErr w:type="spellEnd"/>
            <w:r w:rsidRPr="009F3DD3">
              <w:rPr>
                <w:b/>
                <w:sz w:val="19"/>
                <w:szCs w:val="19"/>
                <w:u w:val="single"/>
              </w:rPr>
              <w:t xml:space="preserve"> (1988)</w:t>
            </w:r>
          </w:p>
          <w:p w:rsidR="006634AC" w:rsidRPr="00BC4749" w:rsidRDefault="006634AC" w:rsidP="00401219">
            <w:pPr>
              <w:spacing w:after="0" w:line="240" w:lineRule="auto"/>
              <w:rPr>
                <w:sz w:val="19"/>
                <w:szCs w:val="19"/>
              </w:rPr>
            </w:pPr>
            <w:r w:rsidRPr="00BC4749">
              <w:rPr>
                <w:sz w:val="19"/>
                <w:szCs w:val="19"/>
              </w:rPr>
              <w:t>AIM: To investigate cross cultural differences in attachment behaviours.</w:t>
            </w:r>
          </w:p>
          <w:p w:rsidR="006634AC" w:rsidRPr="00BC4749" w:rsidRDefault="006634AC" w:rsidP="00401219">
            <w:pPr>
              <w:spacing w:after="0" w:line="240" w:lineRule="auto"/>
              <w:rPr>
                <w:sz w:val="19"/>
                <w:szCs w:val="19"/>
              </w:rPr>
            </w:pPr>
            <w:r w:rsidRPr="00BC4749">
              <w:rPr>
                <w:sz w:val="19"/>
                <w:szCs w:val="19"/>
              </w:rPr>
              <w:t xml:space="preserve">PROCEDURE: Conducted a meta-analysis of studies using the strange situation in 8 different countries, using over 32 different studies. </w:t>
            </w:r>
          </w:p>
          <w:p w:rsidR="00A677C1" w:rsidRPr="00BC4749" w:rsidRDefault="006634AC" w:rsidP="00401219">
            <w:pPr>
              <w:spacing w:after="0" w:line="240" w:lineRule="auto"/>
              <w:rPr>
                <w:sz w:val="19"/>
                <w:szCs w:val="19"/>
              </w:rPr>
            </w:pPr>
            <w:r w:rsidRPr="00BC4749">
              <w:rPr>
                <w:sz w:val="19"/>
                <w:szCs w:val="19"/>
              </w:rPr>
              <w:t xml:space="preserve">FINDINGS:  Securely attached infants were the most common in all countries. The lowest percentage of securely attached infants was found in West Germany and the highest was found in Japan. West Germany also had the most insecure avoidant infants, this attachment types was rare in Japan and Israel (collectivist cultures). However, insecure ambivalence was most common in Japan and Israel. </w:t>
            </w: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926"/>
              <w:gridCol w:w="1047"/>
              <w:gridCol w:w="866"/>
              <w:gridCol w:w="1320"/>
            </w:tblGrid>
            <w:tr w:rsidR="006634AC" w:rsidRPr="00BC4749" w:rsidTr="00A677C1">
              <w:trPr>
                <w:trHeight w:val="414"/>
              </w:trPr>
              <w:tc>
                <w:tcPr>
                  <w:tcW w:w="704"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6"/>
                      <w:szCs w:val="19"/>
                    </w:rPr>
                  </w:pPr>
                </w:p>
              </w:tc>
              <w:tc>
                <w:tcPr>
                  <w:tcW w:w="895"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p>
              </w:tc>
              <w:tc>
                <w:tcPr>
                  <w:tcW w:w="3233" w:type="dxa"/>
                  <w:gridSpan w:val="3"/>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Differences within cultures (INTRA cultural variations)</w:t>
                  </w:r>
                </w:p>
              </w:tc>
            </w:tr>
            <w:tr w:rsidR="006634AC" w:rsidRPr="00BC4749" w:rsidTr="00A677C1">
              <w:trPr>
                <w:trHeight w:val="429"/>
              </w:trPr>
              <w:tc>
                <w:tcPr>
                  <w:tcW w:w="704" w:type="dxa"/>
                  <w:vMerge w:val="restart"/>
                  <w:tcBorders>
                    <w:top w:val="single" w:sz="4" w:space="0" w:color="auto"/>
                    <w:left w:val="single" w:sz="4" w:space="0" w:color="auto"/>
                    <w:bottom w:val="single" w:sz="4" w:space="0" w:color="auto"/>
                    <w:right w:val="single" w:sz="4" w:space="0" w:color="auto"/>
                  </w:tcBorders>
                  <w:textDirection w:val="btLr"/>
                </w:tcPr>
                <w:p w:rsidR="006634AC" w:rsidRPr="00BC4749" w:rsidRDefault="006634AC" w:rsidP="00401219">
                  <w:pPr>
                    <w:spacing w:after="0" w:line="240" w:lineRule="auto"/>
                    <w:ind w:left="113" w:right="113"/>
                    <w:jc w:val="center"/>
                    <w:rPr>
                      <w:sz w:val="16"/>
                      <w:szCs w:val="19"/>
                    </w:rPr>
                  </w:pPr>
                  <w:r w:rsidRPr="00BC4749">
                    <w:rPr>
                      <w:sz w:val="16"/>
                      <w:szCs w:val="19"/>
                    </w:rPr>
                    <w:t>Differences between cultures (INTER) cultural variations</w:t>
                  </w:r>
                </w:p>
              </w:tc>
              <w:tc>
                <w:tcPr>
                  <w:tcW w:w="895"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Country</w:t>
                  </w:r>
                </w:p>
              </w:tc>
              <w:tc>
                <w:tcPr>
                  <w:tcW w:w="1047"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 Avoidant</w:t>
                  </w:r>
                </w:p>
              </w:tc>
              <w:tc>
                <w:tcPr>
                  <w:tcW w:w="866"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 Secure</w:t>
                  </w:r>
                </w:p>
              </w:tc>
              <w:tc>
                <w:tcPr>
                  <w:tcW w:w="1320"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 Ambivalent Resistant</w:t>
                  </w:r>
                </w:p>
              </w:tc>
            </w:tr>
            <w:tr w:rsidR="006634AC" w:rsidRPr="00BC4749" w:rsidTr="00A677C1">
              <w:trPr>
                <w:trHeight w:val="147"/>
              </w:trPr>
              <w:tc>
                <w:tcPr>
                  <w:tcW w:w="704" w:type="dxa"/>
                  <w:vMerge/>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p>
              </w:tc>
              <w:tc>
                <w:tcPr>
                  <w:tcW w:w="895"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USA</w:t>
                  </w:r>
                </w:p>
              </w:tc>
              <w:tc>
                <w:tcPr>
                  <w:tcW w:w="1047"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21</w:t>
                  </w:r>
                </w:p>
              </w:tc>
              <w:tc>
                <w:tcPr>
                  <w:tcW w:w="866"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65</w:t>
                  </w:r>
                </w:p>
              </w:tc>
              <w:tc>
                <w:tcPr>
                  <w:tcW w:w="1320"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14</w:t>
                  </w:r>
                </w:p>
              </w:tc>
            </w:tr>
            <w:tr w:rsidR="006634AC" w:rsidRPr="00BC4749" w:rsidTr="00A677C1">
              <w:trPr>
                <w:trHeight w:val="147"/>
              </w:trPr>
              <w:tc>
                <w:tcPr>
                  <w:tcW w:w="704" w:type="dxa"/>
                  <w:vMerge/>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p>
              </w:tc>
              <w:tc>
                <w:tcPr>
                  <w:tcW w:w="895"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proofErr w:type="spellStart"/>
                  <w:r w:rsidRPr="00BC4749">
                    <w:rPr>
                      <w:sz w:val="19"/>
                      <w:szCs w:val="19"/>
                    </w:rPr>
                    <w:t>Isreal</w:t>
                  </w:r>
                  <w:proofErr w:type="spellEnd"/>
                </w:p>
              </w:tc>
              <w:tc>
                <w:tcPr>
                  <w:tcW w:w="1047"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7</w:t>
                  </w:r>
                </w:p>
              </w:tc>
              <w:tc>
                <w:tcPr>
                  <w:tcW w:w="866"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64</w:t>
                  </w:r>
                </w:p>
              </w:tc>
              <w:tc>
                <w:tcPr>
                  <w:tcW w:w="1320"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29</w:t>
                  </w:r>
                </w:p>
              </w:tc>
            </w:tr>
            <w:tr w:rsidR="006634AC" w:rsidRPr="00BC4749" w:rsidTr="00A677C1">
              <w:trPr>
                <w:trHeight w:val="147"/>
              </w:trPr>
              <w:tc>
                <w:tcPr>
                  <w:tcW w:w="704" w:type="dxa"/>
                  <w:vMerge/>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p>
              </w:tc>
              <w:tc>
                <w:tcPr>
                  <w:tcW w:w="895"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Japan</w:t>
                  </w:r>
                </w:p>
              </w:tc>
              <w:tc>
                <w:tcPr>
                  <w:tcW w:w="1047"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5</w:t>
                  </w:r>
                </w:p>
              </w:tc>
              <w:tc>
                <w:tcPr>
                  <w:tcW w:w="866"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68</w:t>
                  </w:r>
                </w:p>
              </w:tc>
              <w:tc>
                <w:tcPr>
                  <w:tcW w:w="1320"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27</w:t>
                  </w:r>
                </w:p>
              </w:tc>
            </w:tr>
            <w:tr w:rsidR="006634AC" w:rsidRPr="00BC4749" w:rsidTr="00A677C1">
              <w:trPr>
                <w:trHeight w:val="147"/>
              </w:trPr>
              <w:tc>
                <w:tcPr>
                  <w:tcW w:w="704" w:type="dxa"/>
                  <w:vMerge/>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p>
              </w:tc>
              <w:tc>
                <w:tcPr>
                  <w:tcW w:w="895"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West Germany</w:t>
                  </w:r>
                </w:p>
              </w:tc>
              <w:tc>
                <w:tcPr>
                  <w:tcW w:w="1047"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35</w:t>
                  </w:r>
                </w:p>
              </w:tc>
              <w:tc>
                <w:tcPr>
                  <w:tcW w:w="866"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57</w:t>
                  </w:r>
                </w:p>
              </w:tc>
              <w:tc>
                <w:tcPr>
                  <w:tcW w:w="1320" w:type="dxa"/>
                  <w:tcBorders>
                    <w:top w:val="single" w:sz="4" w:space="0" w:color="auto"/>
                    <w:left w:val="single" w:sz="4" w:space="0" w:color="auto"/>
                    <w:bottom w:val="single" w:sz="4" w:space="0" w:color="auto"/>
                    <w:right w:val="single" w:sz="4" w:space="0" w:color="auto"/>
                  </w:tcBorders>
                </w:tcPr>
                <w:p w:rsidR="006634AC" w:rsidRPr="00BC4749" w:rsidRDefault="006634AC" w:rsidP="00401219">
                  <w:pPr>
                    <w:spacing w:after="0" w:line="240" w:lineRule="auto"/>
                    <w:jc w:val="center"/>
                    <w:rPr>
                      <w:sz w:val="19"/>
                      <w:szCs w:val="19"/>
                    </w:rPr>
                  </w:pPr>
                  <w:r w:rsidRPr="00BC4749">
                    <w:rPr>
                      <w:sz w:val="19"/>
                      <w:szCs w:val="19"/>
                    </w:rPr>
                    <w:t>8</w:t>
                  </w:r>
                </w:p>
              </w:tc>
            </w:tr>
          </w:tbl>
          <w:p w:rsidR="00A677C1" w:rsidRPr="00BC4749" w:rsidRDefault="00A677C1" w:rsidP="00401219">
            <w:pPr>
              <w:spacing w:after="0" w:line="240" w:lineRule="auto"/>
              <w:rPr>
                <w:sz w:val="19"/>
                <w:szCs w:val="19"/>
              </w:rPr>
            </w:pPr>
          </w:p>
          <w:p w:rsidR="00A677C1" w:rsidRPr="00BC4749" w:rsidRDefault="00A677C1" w:rsidP="00401219">
            <w:pPr>
              <w:spacing w:after="0" w:line="240" w:lineRule="auto"/>
              <w:rPr>
                <w:sz w:val="19"/>
                <w:szCs w:val="19"/>
              </w:rPr>
            </w:pPr>
          </w:p>
          <w:p w:rsidR="00A677C1" w:rsidRPr="00BC4749" w:rsidRDefault="00A677C1" w:rsidP="00401219">
            <w:pPr>
              <w:spacing w:after="0" w:line="240" w:lineRule="auto"/>
              <w:rPr>
                <w:sz w:val="19"/>
                <w:szCs w:val="19"/>
              </w:rPr>
            </w:pPr>
          </w:p>
          <w:p w:rsidR="00A677C1" w:rsidRPr="00BC4749" w:rsidRDefault="00A677C1" w:rsidP="00401219">
            <w:pPr>
              <w:spacing w:after="0" w:line="240" w:lineRule="auto"/>
              <w:rPr>
                <w:sz w:val="19"/>
                <w:szCs w:val="19"/>
              </w:rPr>
            </w:pPr>
          </w:p>
          <w:p w:rsidR="00A677C1" w:rsidRPr="00BC4749" w:rsidRDefault="00A677C1" w:rsidP="00401219">
            <w:pPr>
              <w:spacing w:after="0" w:line="240" w:lineRule="auto"/>
              <w:rPr>
                <w:sz w:val="19"/>
                <w:szCs w:val="19"/>
              </w:rPr>
            </w:pPr>
          </w:p>
          <w:p w:rsidR="00A677C1" w:rsidRPr="00BC4749" w:rsidRDefault="00A677C1" w:rsidP="00401219">
            <w:pPr>
              <w:spacing w:after="0" w:line="240" w:lineRule="auto"/>
              <w:rPr>
                <w:sz w:val="19"/>
                <w:szCs w:val="19"/>
              </w:rPr>
            </w:pPr>
          </w:p>
          <w:p w:rsidR="00A677C1" w:rsidRPr="00BC4749" w:rsidRDefault="00A677C1" w:rsidP="00401219">
            <w:pPr>
              <w:spacing w:after="0" w:line="240" w:lineRule="auto"/>
              <w:rPr>
                <w:sz w:val="19"/>
                <w:szCs w:val="19"/>
              </w:rPr>
            </w:pPr>
          </w:p>
          <w:p w:rsidR="00A677C1" w:rsidRPr="00BC4749" w:rsidRDefault="00A677C1" w:rsidP="00401219">
            <w:pPr>
              <w:spacing w:after="0" w:line="240" w:lineRule="auto"/>
              <w:rPr>
                <w:sz w:val="19"/>
                <w:szCs w:val="19"/>
              </w:rPr>
            </w:pPr>
          </w:p>
          <w:p w:rsidR="00A677C1" w:rsidRPr="00BC4749" w:rsidRDefault="00A677C1" w:rsidP="00401219">
            <w:pPr>
              <w:spacing w:after="0" w:line="240" w:lineRule="auto"/>
              <w:rPr>
                <w:sz w:val="19"/>
                <w:szCs w:val="19"/>
              </w:rPr>
            </w:pPr>
          </w:p>
          <w:p w:rsidR="00A677C1" w:rsidRPr="00BC4749" w:rsidRDefault="00A677C1" w:rsidP="00401219">
            <w:pPr>
              <w:spacing w:after="0" w:line="240" w:lineRule="auto"/>
              <w:rPr>
                <w:sz w:val="19"/>
                <w:szCs w:val="19"/>
              </w:rPr>
            </w:pPr>
          </w:p>
          <w:p w:rsidR="006634AC" w:rsidRPr="00BC4749" w:rsidRDefault="006634AC" w:rsidP="00401219">
            <w:pPr>
              <w:spacing w:after="0" w:line="240" w:lineRule="auto"/>
              <w:rPr>
                <w:sz w:val="19"/>
                <w:szCs w:val="19"/>
              </w:rPr>
            </w:pPr>
            <w:r w:rsidRPr="00BC4749">
              <w:rPr>
                <w:sz w:val="19"/>
                <w:szCs w:val="19"/>
              </w:rPr>
              <w:t xml:space="preserve">CONCLUSIONS: Inter-cultural variations: The similarities in the findings between the different cultures (in all cultures, the majority of babies are securely attached) suggests that there may be universal characteristics that underpin infant and caregiver interactions. </w:t>
            </w:r>
          </w:p>
          <w:p w:rsidR="006634AC" w:rsidRPr="00BC4749" w:rsidRDefault="006634AC" w:rsidP="00401219">
            <w:pPr>
              <w:spacing w:after="0" w:line="240" w:lineRule="auto"/>
              <w:rPr>
                <w:sz w:val="19"/>
                <w:szCs w:val="19"/>
              </w:rPr>
            </w:pPr>
            <w:r w:rsidRPr="00BC4749">
              <w:rPr>
                <w:sz w:val="19"/>
                <w:szCs w:val="19"/>
              </w:rPr>
              <w:t xml:space="preserve">Intra-cultural variations: However, the differences suggest that the child rearing practises within different cultures has an impact on the types of attachment bonds formed between infants and carers. There are marked differences within cultures. This suggests that the way children are raised also affect the quality of attachment. </w:t>
            </w:r>
          </w:p>
          <w:p w:rsidR="006634AC" w:rsidRPr="00BC4749" w:rsidRDefault="006634AC" w:rsidP="00401219">
            <w:pPr>
              <w:spacing w:after="0" w:line="240" w:lineRule="auto"/>
              <w:rPr>
                <w:sz w:val="19"/>
                <w:szCs w:val="19"/>
              </w:rPr>
            </w:pPr>
          </w:p>
        </w:tc>
        <w:tc>
          <w:tcPr>
            <w:tcW w:w="9446" w:type="dxa"/>
          </w:tcPr>
          <w:p w:rsidR="006634AC" w:rsidRPr="00BC4749" w:rsidRDefault="000F5510" w:rsidP="00401219">
            <w:pPr>
              <w:spacing w:after="0" w:line="240" w:lineRule="auto"/>
              <w:rPr>
                <w:b/>
                <w:sz w:val="19"/>
                <w:szCs w:val="19"/>
                <w:u w:val="single"/>
              </w:rPr>
            </w:pPr>
            <w:r w:rsidRPr="00BC4749">
              <w:rPr>
                <w:b/>
                <w:sz w:val="19"/>
                <w:szCs w:val="19"/>
                <w:u w:val="single"/>
              </w:rPr>
              <w:t xml:space="preserve">Internal Validity and </w:t>
            </w:r>
            <w:r w:rsidR="006634AC" w:rsidRPr="00BC4749">
              <w:rPr>
                <w:b/>
                <w:sz w:val="19"/>
                <w:szCs w:val="19"/>
                <w:u w:val="single"/>
              </w:rPr>
              <w:t>Subcultures</w:t>
            </w:r>
          </w:p>
          <w:p w:rsidR="006634AC" w:rsidRPr="00BC4749" w:rsidRDefault="006634AC" w:rsidP="00480DC5">
            <w:pPr>
              <w:spacing w:after="0" w:line="240" w:lineRule="auto"/>
              <w:ind w:left="360"/>
              <w:rPr>
                <w:sz w:val="19"/>
                <w:szCs w:val="19"/>
              </w:rPr>
            </w:pPr>
            <w:r w:rsidRPr="00BC4749">
              <w:rPr>
                <w:sz w:val="19"/>
                <w:szCs w:val="19"/>
              </w:rPr>
              <w:t>P: One weakness of VI &amp; K (1988) study is that it has low internal validity.</w:t>
            </w:r>
          </w:p>
          <w:p w:rsidR="006634AC" w:rsidRPr="00BC4749" w:rsidRDefault="006634AC" w:rsidP="00480DC5">
            <w:pPr>
              <w:spacing w:after="0" w:line="240" w:lineRule="auto"/>
              <w:ind w:left="360"/>
              <w:rPr>
                <w:sz w:val="19"/>
                <w:szCs w:val="19"/>
              </w:rPr>
            </w:pPr>
            <w:r w:rsidRPr="00BC4749">
              <w:rPr>
                <w:sz w:val="19"/>
                <w:szCs w:val="19"/>
              </w:rPr>
              <w:t xml:space="preserve">E: This is because Vi &amp; K (1988) meta-analysis does not take into account subcultures (culture within cultures) within each country studied. </w:t>
            </w:r>
          </w:p>
          <w:p w:rsidR="006634AC" w:rsidRPr="00BC4749" w:rsidRDefault="006634AC" w:rsidP="00480DC5">
            <w:pPr>
              <w:spacing w:after="0" w:line="240" w:lineRule="auto"/>
              <w:ind w:left="360"/>
              <w:rPr>
                <w:sz w:val="19"/>
                <w:szCs w:val="19"/>
              </w:rPr>
            </w:pPr>
            <w:r w:rsidRPr="00BC4749">
              <w:rPr>
                <w:sz w:val="19"/>
                <w:szCs w:val="19"/>
              </w:rPr>
              <w:t xml:space="preserve">E: For example, there is a substantial population of travellers within the UK who are known to mirror collectivist culture traits. If they were considered within the UK, the results may have been different, demonstrating higher levels of ambivalent attachment types. This is because infants may have higher levels of distress in a strangers’ presence and when separated from their main carer.    </w:t>
            </w:r>
          </w:p>
          <w:p w:rsidR="006634AC" w:rsidRPr="00BC4749" w:rsidRDefault="006634AC" w:rsidP="00480DC5">
            <w:pPr>
              <w:spacing w:after="0" w:line="240" w:lineRule="auto"/>
              <w:ind w:left="360"/>
              <w:rPr>
                <w:sz w:val="19"/>
                <w:szCs w:val="19"/>
              </w:rPr>
            </w:pPr>
            <w:r w:rsidRPr="00BC4749">
              <w:rPr>
                <w:sz w:val="19"/>
                <w:szCs w:val="19"/>
              </w:rPr>
              <w:t xml:space="preserve">L: Consequently, their study is not measuring what they set out to measure (attachment types in a country). Therefore the explanatory power of the meta-analysis is reduced because VI &amp; K (1988) do not offer a full account of cultural differences in attachment behaviour. </w:t>
            </w:r>
          </w:p>
          <w:p w:rsidR="006634AC" w:rsidRPr="00BC4749" w:rsidRDefault="006634AC" w:rsidP="00480DC5">
            <w:pPr>
              <w:spacing w:after="0" w:line="240" w:lineRule="auto"/>
              <w:rPr>
                <w:b/>
                <w:sz w:val="19"/>
                <w:szCs w:val="19"/>
                <w:u w:val="single"/>
              </w:rPr>
            </w:pPr>
            <w:r w:rsidRPr="00BC4749">
              <w:rPr>
                <w:b/>
                <w:sz w:val="19"/>
                <w:szCs w:val="19"/>
                <w:u w:val="single"/>
              </w:rPr>
              <w:t>Population Validity</w:t>
            </w:r>
          </w:p>
          <w:p w:rsidR="006634AC" w:rsidRPr="00BC4749" w:rsidRDefault="006634AC" w:rsidP="00480DC5">
            <w:pPr>
              <w:spacing w:after="0" w:line="240" w:lineRule="auto"/>
              <w:ind w:left="333"/>
              <w:rPr>
                <w:sz w:val="19"/>
                <w:szCs w:val="19"/>
              </w:rPr>
            </w:pPr>
            <w:r w:rsidRPr="00BC4749">
              <w:rPr>
                <w:sz w:val="19"/>
                <w:szCs w:val="19"/>
              </w:rPr>
              <w:t xml:space="preserve">P: One positive aspect of Van </w:t>
            </w:r>
            <w:proofErr w:type="spellStart"/>
            <w:r w:rsidRPr="00BC4749">
              <w:rPr>
                <w:sz w:val="19"/>
                <w:szCs w:val="19"/>
              </w:rPr>
              <w:t>Ijzendoorn</w:t>
            </w:r>
            <w:proofErr w:type="spellEnd"/>
            <w:r w:rsidRPr="00BC4749">
              <w:rPr>
                <w:sz w:val="19"/>
                <w:szCs w:val="19"/>
              </w:rPr>
              <w:t xml:space="preserve"> (1988) study is that it has high population validity. </w:t>
            </w:r>
          </w:p>
          <w:p w:rsidR="006634AC" w:rsidRPr="00BC4749" w:rsidRDefault="006634AC" w:rsidP="00480DC5">
            <w:pPr>
              <w:spacing w:after="0" w:line="240" w:lineRule="auto"/>
              <w:ind w:left="333"/>
              <w:rPr>
                <w:sz w:val="19"/>
                <w:szCs w:val="19"/>
              </w:rPr>
            </w:pPr>
            <w:r w:rsidRPr="00BC4749">
              <w:rPr>
                <w:sz w:val="19"/>
                <w:szCs w:val="19"/>
              </w:rPr>
              <w:t>E: This is a positive aspect because it considers attachment types both within different cultures and between different cultures, studying the attachment behaviour of over 2000 infants.</w:t>
            </w:r>
          </w:p>
          <w:p w:rsidR="006634AC" w:rsidRPr="00BC4749" w:rsidRDefault="006634AC" w:rsidP="00480DC5">
            <w:pPr>
              <w:spacing w:after="0" w:line="240" w:lineRule="auto"/>
              <w:ind w:left="333"/>
              <w:rPr>
                <w:sz w:val="19"/>
                <w:szCs w:val="19"/>
              </w:rPr>
            </w:pPr>
            <w:r w:rsidRPr="00BC4749">
              <w:rPr>
                <w:sz w:val="19"/>
                <w:szCs w:val="19"/>
              </w:rPr>
              <w:t>E: This means that the attachment types found within and between these cultures can be generalised to other collectivist and individualistic cultures.</w:t>
            </w:r>
          </w:p>
          <w:p w:rsidR="006634AC" w:rsidRPr="00BC4749" w:rsidRDefault="006634AC" w:rsidP="00480DC5">
            <w:pPr>
              <w:spacing w:after="0" w:line="240" w:lineRule="auto"/>
              <w:ind w:left="333"/>
              <w:rPr>
                <w:sz w:val="19"/>
                <w:szCs w:val="19"/>
              </w:rPr>
            </w:pPr>
            <w:r w:rsidRPr="00BC4749">
              <w:rPr>
                <w:sz w:val="19"/>
                <w:szCs w:val="19"/>
              </w:rPr>
              <w:t>L: Therefore the findings have high external validity and as a consequence, are credible when looking at cross cultural differences in attachment behaviour.</w:t>
            </w:r>
          </w:p>
          <w:p w:rsidR="006634AC" w:rsidRPr="00BC4749" w:rsidRDefault="006634AC" w:rsidP="00480DC5">
            <w:pPr>
              <w:spacing w:after="0" w:line="240" w:lineRule="auto"/>
              <w:rPr>
                <w:b/>
                <w:sz w:val="19"/>
                <w:szCs w:val="19"/>
                <w:u w:val="single"/>
              </w:rPr>
            </w:pPr>
            <w:r w:rsidRPr="00BC4749">
              <w:rPr>
                <w:b/>
                <w:sz w:val="19"/>
                <w:szCs w:val="19"/>
                <w:u w:val="single"/>
              </w:rPr>
              <w:t>Use of Meta-analysis</w:t>
            </w:r>
            <w:r w:rsidR="00BC4749">
              <w:rPr>
                <w:b/>
                <w:sz w:val="19"/>
                <w:szCs w:val="19"/>
                <w:u w:val="single"/>
              </w:rPr>
              <w:t xml:space="preserve"> and E</w:t>
            </w:r>
            <w:r w:rsidR="000F5510" w:rsidRPr="00BC4749">
              <w:rPr>
                <w:b/>
                <w:sz w:val="19"/>
                <w:szCs w:val="19"/>
                <w:u w:val="single"/>
              </w:rPr>
              <w:t>thics</w:t>
            </w:r>
          </w:p>
          <w:p w:rsidR="006634AC" w:rsidRPr="00BC4749" w:rsidRDefault="006634AC" w:rsidP="00480DC5">
            <w:pPr>
              <w:spacing w:after="0" w:line="240" w:lineRule="auto"/>
              <w:ind w:left="333"/>
              <w:rPr>
                <w:sz w:val="19"/>
                <w:szCs w:val="19"/>
              </w:rPr>
            </w:pPr>
            <w:r w:rsidRPr="00BC4749">
              <w:rPr>
                <w:sz w:val="19"/>
                <w:szCs w:val="19"/>
              </w:rPr>
              <w:t xml:space="preserve">P: </w:t>
            </w:r>
            <w:proofErr w:type="gramStart"/>
            <w:r w:rsidRPr="00BC4749">
              <w:rPr>
                <w:sz w:val="19"/>
                <w:szCs w:val="19"/>
              </w:rPr>
              <w:t>One strength</w:t>
            </w:r>
            <w:proofErr w:type="gramEnd"/>
            <w:r w:rsidRPr="00BC4749">
              <w:rPr>
                <w:sz w:val="19"/>
                <w:szCs w:val="19"/>
              </w:rPr>
              <w:t xml:space="preserve"> of VI &amp; K (1988) is that there are no ethical issues associated with this research.</w:t>
            </w:r>
          </w:p>
          <w:p w:rsidR="006634AC" w:rsidRPr="00BC4749" w:rsidRDefault="006634AC" w:rsidP="00480DC5">
            <w:pPr>
              <w:spacing w:after="0" w:line="240" w:lineRule="auto"/>
              <w:ind w:left="333"/>
              <w:rPr>
                <w:sz w:val="19"/>
                <w:szCs w:val="19"/>
              </w:rPr>
            </w:pPr>
            <w:r w:rsidRPr="00BC4749">
              <w:rPr>
                <w:sz w:val="19"/>
                <w:szCs w:val="19"/>
              </w:rPr>
              <w:t>E: This is because the study used a meta-analysis to investigate the findings of studies using the Strange Situation in different cultures.</w:t>
            </w:r>
          </w:p>
          <w:p w:rsidR="006634AC" w:rsidRPr="00BC4749" w:rsidRDefault="006634AC" w:rsidP="00480DC5">
            <w:pPr>
              <w:spacing w:after="0" w:line="240" w:lineRule="auto"/>
              <w:ind w:left="333"/>
              <w:rPr>
                <w:sz w:val="19"/>
                <w:szCs w:val="19"/>
              </w:rPr>
            </w:pPr>
            <w:r w:rsidRPr="00BC4749">
              <w:rPr>
                <w:sz w:val="19"/>
                <w:szCs w:val="19"/>
              </w:rPr>
              <w:t>E: Therefore, issues such as protection from harm and informed consent would not have occurred during this process. The researchers would not have needed to subject 2000 infants to distress or gain informed consent from their carers.</w:t>
            </w:r>
          </w:p>
          <w:p w:rsidR="00287443" w:rsidRPr="00BC4749" w:rsidRDefault="006634AC" w:rsidP="00287443">
            <w:pPr>
              <w:spacing w:after="0" w:line="240" w:lineRule="auto"/>
              <w:ind w:left="333"/>
              <w:rPr>
                <w:sz w:val="19"/>
                <w:szCs w:val="19"/>
              </w:rPr>
            </w:pPr>
            <w:r w:rsidRPr="00BC4749">
              <w:rPr>
                <w:sz w:val="19"/>
                <w:szCs w:val="19"/>
              </w:rPr>
              <w:t>L: Therefore, V I &amp; K (1988) meta-analysis is an appropriate and effective me</w:t>
            </w:r>
            <w:r w:rsidR="000F5510" w:rsidRPr="00BC4749">
              <w:rPr>
                <w:sz w:val="19"/>
                <w:szCs w:val="19"/>
              </w:rPr>
              <w:t xml:space="preserve">thod to use when investigating </w:t>
            </w:r>
            <w:r w:rsidRPr="00BC4749">
              <w:rPr>
                <w:sz w:val="19"/>
                <w:szCs w:val="19"/>
              </w:rPr>
              <w:t>cross cultural differences in attachment behaviour in 2000 infants.</w:t>
            </w:r>
          </w:p>
          <w:p w:rsidR="00287443" w:rsidRPr="00BC4749" w:rsidRDefault="00287443" w:rsidP="00287443">
            <w:pPr>
              <w:spacing w:after="0" w:line="240" w:lineRule="auto"/>
              <w:ind w:left="333"/>
              <w:rPr>
                <w:sz w:val="19"/>
                <w:szCs w:val="19"/>
              </w:rPr>
            </w:pPr>
          </w:p>
          <w:p w:rsidR="00287443" w:rsidRPr="00BC4749" w:rsidRDefault="00287443" w:rsidP="00287443">
            <w:pPr>
              <w:spacing w:after="0" w:line="240" w:lineRule="auto"/>
              <w:ind w:left="333"/>
              <w:rPr>
                <w:sz w:val="19"/>
                <w:szCs w:val="19"/>
              </w:rPr>
            </w:pPr>
          </w:p>
        </w:tc>
      </w:tr>
      <w:tr w:rsidR="006634AC" w:rsidRPr="00BC4749" w:rsidTr="0018129F">
        <w:trPr>
          <w:trHeight w:val="1794"/>
        </w:trPr>
        <w:tc>
          <w:tcPr>
            <w:tcW w:w="6168" w:type="dxa"/>
          </w:tcPr>
          <w:p w:rsidR="006634AC" w:rsidRPr="00BC4749" w:rsidRDefault="00273C53" w:rsidP="00401219">
            <w:pPr>
              <w:spacing w:after="0" w:line="240" w:lineRule="auto"/>
              <w:rPr>
                <w:b/>
                <w:sz w:val="19"/>
                <w:szCs w:val="19"/>
                <w:u w:val="single"/>
              </w:rPr>
            </w:pPr>
            <w:proofErr w:type="spellStart"/>
            <w:r w:rsidRPr="00BC4749">
              <w:rPr>
                <w:b/>
                <w:sz w:val="19"/>
                <w:szCs w:val="19"/>
                <w:u w:val="single"/>
              </w:rPr>
              <w:t>Simonella</w:t>
            </w:r>
            <w:proofErr w:type="spellEnd"/>
            <w:r w:rsidRPr="00BC4749">
              <w:rPr>
                <w:b/>
                <w:sz w:val="19"/>
                <w:szCs w:val="19"/>
                <w:u w:val="single"/>
              </w:rPr>
              <w:t xml:space="preserve"> (2014) – An Italian Study</w:t>
            </w:r>
          </w:p>
          <w:p w:rsidR="00273C53" w:rsidRPr="00BC4749" w:rsidRDefault="00273C53" w:rsidP="00401219">
            <w:pPr>
              <w:spacing w:after="0" w:line="240" w:lineRule="auto"/>
              <w:rPr>
                <w:sz w:val="19"/>
                <w:szCs w:val="19"/>
              </w:rPr>
            </w:pPr>
            <w:r w:rsidRPr="00BC4749">
              <w:rPr>
                <w:sz w:val="19"/>
                <w:szCs w:val="19"/>
              </w:rPr>
              <w:t>Aim: To investigate whether the proportion of babies of different attachment types still matched those found in previous studies.</w:t>
            </w:r>
          </w:p>
          <w:p w:rsidR="00273C53" w:rsidRPr="00BC4749" w:rsidRDefault="00273C53" w:rsidP="00401219">
            <w:pPr>
              <w:spacing w:after="0" w:line="240" w:lineRule="auto"/>
              <w:rPr>
                <w:sz w:val="19"/>
                <w:szCs w:val="19"/>
              </w:rPr>
            </w:pPr>
            <w:r w:rsidRPr="00BC4749">
              <w:rPr>
                <w:sz w:val="19"/>
                <w:szCs w:val="19"/>
              </w:rPr>
              <w:t>Procedure: The researchers assessed 76 12 month olds using the strange situation.</w:t>
            </w:r>
          </w:p>
          <w:p w:rsidR="00273C53" w:rsidRPr="00BC4749" w:rsidRDefault="00273C53" w:rsidP="00401219">
            <w:pPr>
              <w:spacing w:after="0" w:line="240" w:lineRule="auto"/>
              <w:rPr>
                <w:sz w:val="19"/>
                <w:szCs w:val="19"/>
              </w:rPr>
            </w:pPr>
            <w:r w:rsidRPr="00BC4749">
              <w:rPr>
                <w:sz w:val="19"/>
                <w:szCs w:val="19"/>
              </w:rPr>
              <w:t>Findings: The</w:t>
            </w:r>
            <w:r w:rsidR="0018129F">
              <w:rPr>
                <w:sz w:val="19"/>
                <w:szCs w:val="19"/>
              </w:rPr>
              <w:t>y</w:t>
            </w:r>
            <w:bookmarkStart w:id="0" w:name="_GoBack"/>
            <w:bookmarkEnd w:id="0"/>
            <w:r w:rsidRPr="00BC4749">
              <w:rPr>
                <w:sz w:val="19"/>
                <w:szCs w:val="19"/>
              </w:rPr>
              <w:t xml:space="preserve"> found 50% were secure, with 36% insecure-avoidant. This is a lower rate of secure attachment than has been found in many studies. The researchers suggest that is because increasing number of mothers of very young children work long hours and use professional childcare. </w:t>
            </w:r>
          </w:p>
          <w:p w:rsidR="00D40AE8" w:rsidRPr="00BC4749" w:rsidRDefault="00D40AE8" w:rsidP="00401219">
            <w:pPr>
              <w:spacing w:after="0" w:line="240" w:lineRule="auto"/>
              <w:rPr>
                <w:sz w:val="19"/>
                <w:szCs w:val="19"/>
              </w:rPr>
            </w:pPr>
            <w:r w:rsidRPr="00BC4749">
              <w:rPr>
                <w:sz w:val="19"/>
                <w:szCs w:val="19"/>
              </w:rPr>
              <w:t xml:space="preserve">Conclusions: Cultural changes make a dramatic difference to patterns of secure and insecure attachment. </w:t>
            </w:r>
          </w:p>
        </w:tc>
        <w:tc>
          <w:tcPr>
            <w:tcW w:w="9446" w:type="dxa"/>
          </w:tcPr>
          <w:p w:rsidR="006634AC" w:rsidRPr="00BC4749" w:rsidRDefault="00BC4749" w:rsidP="00BC4749">
            <w:pPr>
              <w:spacing w:after="0" w:line="240" w:lineRule="auto"/>
              <w:rPr>
                <w:b/>
                <w:sz w:val="19"/>
                <w:szCs w:val="19"/>
                <w:u w:val="single"/>
              </w:rPr>
            </w:pPr>
            <w:r w:rsidRPr="00BC4749">
              <w:rPr>
                <w:b/>
                <w:sz w:val="19"/>
                <w:szCs w:val="19"/>
                <w:u w:val="single"/>
              </w:rPr>
              <w:t>High Temporal Validity</w:t>
            </w:r>
          </w:p>
          <w:p w:rsidR="00BC4749" w:rsidRPr="00BC4749" w:rsidRDefault="00BC4749" w:rsidP="00BC4749">
            <w:pPr>
              <w:spacing w:after="0" w:line="240" w:lineRule="auto"/>
              <w:rPr>
                <w:sz w:val="19"/>
                <w:szCs w:val="19"/>
              </w:rPr>
            </w:pPr>
            <w:proofErr w:type="gramStart"/>
            <w:r w:rsidRPr="00BC4749">
              <w:rPr>
                <w:sz w:val="19"/>
                <w:szCs w:val="19"/>
              </w:rPr>
              <w:t>One strength</w:t>
            </w:r>
            <w:proofErr w:type="gramEnd"/>
            <w:r w:rsidRPr="00BC4749">
              <w:rPr>
                <w:sz w:val="19"/>
                <w:szCs w:val="19"/>
              </w:rPr>
              <w:t xml:space="preserve"> of </w:t>
            </w:r>
            <w:proofErr w:type="spellStart"/>
            <w:r w:rsidRPr="00BC4749">
              <w:rPr>
                <w:sz w:val="19"/>
                <w:szCs w:val="19"/>
              </w:rPr>
              <w:t>Simonella’s</w:t>
            </w:r>
            <w:proofErr w:type="spellEnd"/>
            <w:r w:rsidRPr="00BC4749">
              <w:rPr>
                <w:sz w:val="19"/>
                <w:szCs w:val="19"/>
              </w:rPr>
              <w:t xml:space="preserve"> (2014) research is that it has high temporal validity.</w:t>
            </w:r>
          </w:p>
          <w:p w:rsidR="00BC4749" w:rsidRPr="00BC4749" w:rsidRDefault="00BC4749" w:rsidP="00BC4749">
            <w:pPr>
              <w:spacing w:after="0" w:line="240" w:lineRule="auto"/>
              <w:rPr>
                <w:sz w:val="19"/>
                <w:szCs w:val="19"/>
              </w:rPr>
            </w:pPr>
            <w:r w:rsidRPr="00BC4749">
              <w:rPr>
                <w:sz w:val="19"/>
                <w:szCs w:val="19"/>
              </w:rPr>
              <w:t>This is because it was conducted just two years ago.</w:t>
            </w:r>
          </w:p>
          <w:p w:rsidR="00BC4749" w:rsidRPr="00BC4749" w:rsidRDefault="00BC4749" w:rsidP="00BC4749">
            <w:pPr>
              <w:spacing w:after="0" w:line="240" w:lineRule="auto"/>
              <w:rPr>
                <w:sz w:val="19"/>
                <w:szCs w:val="19"/>
              </w:rPr>
            </w:pPr>
            <w:r w:rsidRPr="00BC4749">
              <w:rPr>
                <w:sz w:val="19"/>
                <w:szCs w:val="19"/>
              </w:rPr>
              <w:t xml:space="preserve">This is </w:t>
            </w:r>
            <w:proofErr w:type="gramStart"/>
            <w:r w:rsidRPr="00BC4749">
              <w:rPr>
                <w:sz w:val="19"/>
                <w:szCs w:val="19"/>
              </w:rPr>
              <w:t>a strength</w:t>
            </w:r>
            <w:proofErr w:type="gramEnd"/>
            <w:r w:rsidRPr="00BC4749">
              <w:rPr>
                <w:sz w:val="19"/>
                <w:szCs w:val="19"/>
              </w:rPr>
              <w:t xml:space="preserve"> because it is very reflective of childcare practices in modern times. Italy – like the rest of Europe is recovering from an economic downtown and so this may have forced mothers to return to work earlier. Or it may be that as mother’s status in society becomes more equal to that of men, she is expected to go back to work earlier after giving birth. This research provides valuable insights into how modern childcare practices are changing the attachment styles of Western children.</w:t>
            </w:r>
          </w:p>
          <w:p w:rsidR="00BC4749" w:rsidRPr="00BC4749" w:rsidRDefault="00BC4749" w:rsidP="00BC4749">
            <w:pPr>
              <w:spacing w:after="0" w:line="240" w:lineRule="auto"/>
              <w:rPr>
                <w:sz w:val="19"/>
                <w:szCs w:val="19"/>
              </w:rPr>
            </w:pPr>
            <w:r w:rsidRPr="00BC4749">
              <w:rPr>
                <w:sz w:val="19"/>
                <w:szCs w:val="19"/>
              </w:rPr>
              <w:t xml:space="preserve">L: As a consequence, this increases the validity of </w:t>
            </w:r>
            <w:proofErr w:type="spellStart"/>
            <w:r w:rsidRPr="00BC4749">
              <w:rPr>
                <w:sz w:val="19"/>
                <w:szCs w:val="19"/>
              </w:rPr>
              <w:t>Simonella’s</w:t>
            </w:r>
            <w:proofErr w:type="spellEnd"/>
            <w:r w:rsidRPr="00BC4749">
              <w:rPr>
                <w:sz w:val="19"/>
                <w:szCs w:val="19"/>
              </w:rPr>
              <w:t xml:space="preserve"> research into attachment. </w:t>
            </w:r>
          </w:p>
        </w:tc>
      </w:tr>
    </w:tbl>
    <w:p w:rsidR="006634AC" w:rsidRPr="00BC4749" w:rsidRDefault="006634AC">
      <w:pPr>
        <w:rPr>
          <w:sz w:val="19"/>
          <w:szCs w:val="19"/>
        </w:rPr>
      </w:pPr>
    </w:p>
    <w:sectPr w:rsidR="006634AC" w:rsidRPr="00BC4749" w:rsidSect="00E14DF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F3685"/>
    <w:multiLevelType w:val="hybridMultilevel"/>
    <w:tmpl w:val="515A7E8E"/>
    <w:lvl w:ilvl="0" w:tplc="6886490A">
      <w:start w:val="1"/>
      <w:numFmt w:val="bullet"/>
      <w:lvlText w:val="•"/>
      <w:lvlJc w:val="left"/>
      <w:pPr>
        <w:tabs>
          <w:tab w:val="num" w:pos="720"/>
        </w:tabs>
        <w:ind w:left="720" w:hanging="360"/>
      </w:pPr>
      <w:rPr>
        <w:rFonts w:ascii="Arial" w:hAnsi="Arial" w:hint="default"/>
      </w:rPr>
    </w:lvl>
    <w:lvl w:ilvl="1" w:tplc="63B8F210">
      <w:start w:val="1"/>
      <w:numFmt w:val="bullet"/>
      <w:lvlText w:val="•"/>
      <w:lvlJc w:val="left"/>
      <w:pPr>
        <w:tabs>
          <w:tab w:val="num" w:pos="1440"/>
        </w:tabs>
        <w:ind w:left="1440" w:hanging="360"/>
      </w:pPr>
      <w:rPr>
        <w:rFonts w:ascii="Arial" w:hAnsi="Arial" w:cs="Arial" w:hint="default"/>
      </w:rPr>
    </w:lvl>
    <w:lvl w:ilvl="2" w:tplc="FBF8FE34">
      <w:start w:val="1"/>
      <w:numFmt w:val="bullet"/>
      <w:lvlText w:val="•"/>
      <w:lvlJc w:val="left"/>
      <w:pPr>
        <w:tabs>
          <w:tab w:val="num" w:pos="2160"/>
        </w:tabs>
        <w:ind w:left="2160" w:hanging="360"/>
      </w:pPr>
      <w:rPr>
        <w:rFonts w:ascii="Arial" w:hAnsi="Arial" w:cs="Arial" w:hint="default"/>
      </w:rPr>
    </w:lvl>
    <w:lvl w:ilvl="3" w:tplc="DE888D0A">
      <w:start w:val="1"/>
      <w:numFmt w:val="bullet"/>
      <w:lvlText w:val="•"/>
      <w:lvlJc w:val="left"/>
      <w:pPr>
        <w:tabs>
          <w:tab w:val="num" w:pos="2880"/>
        </w:tabs>
        <w:ind w:left="2880" w:hanging="360"/>
      </w:pPr>
      <w:rPr>
        <w:rFonts w:ascii="Arial" w:hAnsi="Arial" w:cs="Arial" w:hint="default"/>
      </w:rPr>
    </w:lvl>
    <w:lvl w:ilvl="4" w:tplc="23E42DCC">
      <w:start w:val="1"/>
      <w:numFmt w:val="bullet"/>
      <w:lvlText w:val="•"/>
      <w:lvlJc w:val="left"/>
      <w:pPr>
        <w:tabs>
          <w:tab w:val="num" w:pos="3600"/>
        </w:tabs>
        <w:ind w:left="3600" w:hanging="360"/>
      </w:pPr>
      <w:rPr>
        <w:rFonts w:ascii="Arial" w:hAnsi="Arial" w:cs="Arial" w:hint="default"/>
      </w:rPr>
    </w:lvl>
    <w:lvl w:ilvl="5" w:tplc="43A43F8C">
      <w:start w:val="1"/>
      <w:numFmt w:val="bullet"/>
      <w:lvlText w:val="•"/>
      <w:lvlJc w:val="left"/>
      <w:pPr>
        <w:tabs>
          <w:tab w:val="num" w:pos="4320"/>
        </w:tabs>
        <w:ind w:left="4320" w:hanging="360"/>
      </w:pPr>
      <w:rPr>
        <w:rFonts w:ascii="Arial" w:hAnsi="Arial" w:cs="Arial" w:hint="default"/>
      </w:rPr>
    </w:lvl>
    <w:lvl w:ilvl="6" w:tplc="7090A08E">
      <w:start w:val="1"/>
      <w:numFmt w:val="bullet"/>
      <w:lvlText w:val="•"/>
      <w:lvlJc w:val="left"/>
      <w:pPr>
        <w:tabs>
          <w:tab w:val="num" w:pos="5040"/>
        </w:tabs>
        <w:ind w:left="5040" w:hanging="360"/>
      </w:pPr>
      <w:rPr>
        <w:rFonts w:ascii="Arial" w:hAnsi="Arial" w:cs="Arial" w:hint="default"/>
      </w:rPr>
    </w:lvl>
    <w:lvl w:ilvl="7" w:tplc="ECE001DA">
      <w:start w:val="1"/>
      <w:numFmt w:val="bullet"/>
      <w:lvlText w:val="•"/>
      <w:lvlJc w:val="left"/>
      <w:pPr>
        <w:tabs>
          <w:tab w:val="num" w:pos="5760"/>
        </w:tabs>
        <w:ind w:left="5760" w:hanging="360"/>
      </w:pPr>
      <w:rPr>
        <w:rFonts w:ascii="Arial" w:hAnsi="Arial" w:cs="Arial" w:hint="default"/>
      </w:rPr>
    </w:lvl>
    <w:lvl w:ilvl="8" w:tplc="57B8C134">
      <w:start w:val="1"/>
      <w:numFmt w:val="bullet"/>
      <w:lvlText w:val="•"/>
      <w:lvlJc w:val="left"/>
      <w:pPr>
        <w:tabs>
          <w:tab w:val="num" w:pos="6480"/>
        </w:tabs>
        <w:ind w:left="6480" w:hanging="360"/>
      </w:pPr>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F2"/>
    <w:rsid w:val="000F5510"/>
    <w:rsid w:val="00162A94"/>
    <w:rsid w:val="0018129F"/>
    <w:rsid w:val="00195C34"/>
    <w:rsid w:val="001D2497"/>
    <w:rsid w:val="00273C53"/>
    <w:rsid w:val="00287443"/>
    <w:rsid w:val="002A56A0"/>
    <w:rsid w:val="002C695E"/>
    <w:rsid w:val="003303E5"/>
    <w:rsid w:val="00401219"/>
    <w:rsid w:val="004155BE"/>
    <w:rsid w:val="00480DC5"/>
    <w:rsid w:val="00521D61"/>
    <w:rsid w:val="006634AC"/>
    <w:rsid w:val="007B01EA"/>
    <w:rsid w:val="0080126E"/>
    <w:rsid w:val="009F3DD3"/>
    <w:rsid w:val="00A677C1"/>
    <w:rsid w:val="00A848B3"/>
    <w:rsid w:val="00AC11F3"/>
    <w:rsid w:val="00AC1FFB"/>
    <w:rsid w:val="00B42733"/>
    <w:rsid w:val="00BB1664"/>
    <w:rsid w:val="00BC4749"/>
    <w:rsid w:val="00BD1483"/>
    <w:rsid w:val="00C34F96"/>
    <w:rsid w:val="00D40AE8"/>
    <w:rsid w:val="00DC192B"/>
    <w:rsid w:val="00E14DF2"/>
    <w:rsid w:val="00F2707F"/>
    <w:rsid w:val="00F9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34"/>
    <w:pPr>
      <w:spacing w:after="200" w:line="27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4DF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34"/>
    <w:pPr>
      <w:spacing w:after="200" w:line="27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4DF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0942">
      <w:marLeft w:val="0"/>
      <w:marRight w:val="0"/>
      <w:marTop w:val="0"/>
      <w:marBottom w:val="0"/>
      <w:divBdr>
        <w:top w:val="none" w:sz="0" w:space="0" w:color="auto"/>
        <w:left w:val="none" w:sz="0" w:space="0" w:color="auto"/>
        <w:bottom w:val="none" w:sz="0" w:space="0" w:color="auto"/>
        <w:right w:val="none" w:sz="0" w:space="0" w:color="auto"/>
      </w:divBdr>
      <w:divsChild>
        <w:div w:id="113060957">
          <w:marLeft w:val="0"/>
          <w:marRight w:val="0"/>
          <w:marTop w:val="0"/>
          <w:marBottom w:val="0"/>
          <w:divBdr>
            <w:top w:val="none" w:sz="0" w:space="0" w:color="auto"/>
            <w:left w:val="none" w:sz="0" w:space="0" w:color="auto"/>
            <w:bottom w:val="none" w:sz="0" w:space="0" w:color="auto"/>
            <w:right w:val="none" w:sz="0" w:space="0" w:color="auto"/>
          </w:divBdr>
          <w:divsChild>
            <w:div w:id="113060948">
              <w:marLeft w:val="0"/>
              <w:marRight w:val="0"/>
              <w:marTop w:val="0"/>
              <w:marBottom w:val="0"/>
              <w:divBdr>
                <w:top w:val="none" w:sz="0" w:space="0" w:color="auto"/>
                <w:left w:val="none" w:sz="0" w:space="0" w:color="auto"/>
                <w:bottom w:val="none" w:sz="0" w:space="0" w:color="auto"/>
                <w:right w:val="none" w:sz="0" w:space="0" w:color="auto"/>
              </w:divBdr>
            </w:div>
            <w:div w:id="113060951">
              <w:marLeft w:val="0"/>
              <w:marRight w:val="0"/>
              <w:marTop w:val="0"/>
              <w:marBottom w:val="0"/>
              <w:divBdr>
                <w:top w:val="none" w:sz="0" w:space="0" w:color="auto"/>
                <w:left w:val="none" w:sz="0" w:space="0" w:color="auto"/>
                <w:bottom w:val="none" w:sz="0" w:space="0" w:color="auto"/>
                <w:right w:val="none" w:sz="0" w:space="0" w:color="auto"/>
              </w:divBdr>
            </w:div>
            <w:div w:id="113060956">
              <w:marLeft w:val="0"/>
              <w:marRight w:val="0"/>
              <w:marTop w:val="0"/>
              <w:marBottom w:val="0"/>
              <w:divBdr>
                <w:top w:val="none" w:sz="0" w:space="0" w:color="auto"/>
                <w:left w:val="none" w:sz="0" w:space="0" w:color="auto"/>
                <w:bottom w:val="none" w:sz="0" w:space="0" w:color="auto"/>
                <w:right w:val="none" w:sz="0" w:space="0" w:color="auto"/>
              </w:divBdr>
            </w:div>
            <w:div w:id="1130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0946">
      <w:marLeft w:val="0"/>
      <w:marRight w:val="0"/>
      <w:marTop w:val="0"/>
      <w:marBottom w:val="0"/>
      <w:divBdr>
        <w:top w:val="none" w:sz="0" w:space="0" w:color="auto"/>
        <w:left w:val="none" w:sz="0" w:space="0" w:color="auto"/>
        <w:bottom w:val="none" w:sz="0" w:space="0" w:color="auto"/>
        <w:right w:val="none" w:sz="0" w:space="0" w:color="auto"/>
      </w:divBdr>
      <w:divsChild>
        <w:div w:id="113060953">
          <w:marLeft w:val="0"/>
          <w:marRight w:val="0"/>
          <w:marTop w:val="0"/>
          <w:marBottom w:val="0"/>
          <w:divBdr>
            <w:top w:val="none" w:sz="0" w:space="0" w:color="auto"/>
            <w:left w:val="none" w:sz="0" w:space="0" w:color="auto"/>
            <w:bottom w:val="none" w:sz="0" w:space="0" w:color="auto"/>
            <w:right w:val="none" w:sz="0" w:space="0" w:color="auto"/>
          </w:divBdr>
          <w:divsChild>
            <w:div w:id="113060936">
              <w:marLeft w:val="0"/>
              <w:marRight w:val="0"/>
              <w:marTop w:val="0"/>
              <w:marBottom w:val="0"/>
              <w:divBdr>
                <w:top w:val="none" w:sz="0" w:space="0" w:color="auto"/>
                <w:left w:val="none" w:sz="0" w:space="0" w:color="auto"/>
                <w:bottom w:val="none" w:sz="0" w:space="0" w:color="auto"/>
                <w:right w:val="none" w:sz="0" w:space="0" w:color="auto"/>
              </w:divBdr>
            </w:div>
            <w:div w:id="113060944">
              <w:marLeft w:val="0"/>
              <w:marRight w:val="0"/>
              <w:marTop w:val="0"/>
              <w:marBottom w:val="0"/>
              <w:divBdr>
                <w:top w:val="none" w:sz="0" w:space="0" w:color="auto"/>
                <w:left w:val="none" w:sz="0" w:space="0" w:color="auto"/>
                <w:bottom w:val="none" w:sz="0" w:space="0" w:color="auto"/>
                <w:right w:val="none" w:sz="0" w:space="0" w:color="auto"/>
              </w:divBdr>
            </w:div>
            <w:div w:id="113060955">
              <w:marLeft w:val="0"/>
              <w:marRight w:val="0"/>
              <w:marTop w:val="0"/>
              <w:marBottom w:val="0"/>
              <w:divBdr>
                <w:top w:val="none" w:sz="0" w:space="0" w:color="auto"/>
                <w:left w:val="none" w:sz="0" w:space="0" w:color="auto"/>
                <w:bottom w:val="none" w:sz="0" w:space="0" w:color="auto"/>
                <w:right w:val="none" w:sz="0" w:space="0" w:color="auto"/>
              </w:divBdr>
            </w:div>
            <w:div w:id="1130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0947">
      <w:marLeft w:val="0"/>
      <w:marRight w:val="0"/>
      <w:marTop w:val="0"/>
      <w:marBottom w:val="0"/>
      <w:divBdr>
        <w:top w:val="none" w:sz="0" w:space="0" w:color="auto"/>
        <w:left w:val="none" w:sz="0" w:space="0" w:color="auto"/>
        <w:bottom w:val="none" w:sz="0" w:space="0" w:color="auto"/>
        <w:right w:val="none" w:sz="0" w:space="0" w:color="auto"/>
      </w:divBdr>
      <w:divsChild>
        <w:div w:id="113060960">
          <w:marLeft w:val="0"/>
          <w:marRight w:val="0"/>
          <w:marTop w:val="0"/>
          <w:marBottom w:val="0"/>
          <w:divBdr>
            <w:top w:val="none" w:sz="0" w:space="0" w:color="auto"/>
            <w:left w:val="none" w:sz="0" w:space="0" w:color="auto"/>
            <w:bottom w:val="none" w:sz="0" w:space="0" w:color="auto"/>
            <w:right w:val="none" w:sz="0" w:space="0" w:color="auto"/>
          </w:divBdr>
          <w:divsChild>
            <w:div w:id="113060941">
              <w:marLeft w:val="0"/>
              <w:marRight w:val="0"/>
              <w:marTop w:val="0"/>
              <w:marBottom w:val="0"/>
              <w:divBdr>
                <w:top w:val="none" w:sz="0" w:space="0" w:color="auto"/>
                <w:left w:val="none" w:sz="0" w:space="0" w:color="auto"/>
                <w:bottom w:val="none" w:sz="0" w:space="0" w:color="auto"/>
                <w:right w:val="none" w:sz="0" w:space="0" w:color="auto"/>
              </w:divBdr>
            </w:div>
            <w:div w:id="113060945">
              <w:marLeft w:val="0"/>
              <w:marRight w:val="0"/>
              <w:marTop w:val="0"/>
              <w:marBottom w:val="0"/>
              <w:divBdr>
                <w:top w:val="none" w:sz="0" w:space="0" w:color="auto"/>
                <w:left w:val="none" w:sz="0" w:space="0" w:color="auto"/>
                <w:bottom w:val="none" w:sz="0" w:space="0" w:color="auto"/>
                <w:right w:val="none" w:sz="0" w:space="0" w:color="auto"/>
              </w:divBdr>
            </w:div>
            <w:div w:id="113060952">
              <w:marLeft w:val="0"/>
              <w:marRight w:val="0"/>
              <w:marTop w:val="0"/>
              <w:marBottom w:val="0"/>
              <w:divBdr>
                <w:top w:val="none" w:sz="0" w:space="0" w:color="auto"/>
                <w:left w:val="none" w:sz="0" w:space="0" w:color="auto"/>
                <w:bottom w:val="none" w:sz="0" w:space="0" w:color="auto"/>
                <w:right w:val="none" w:sz="0" w:space="0" w:color="auto"/>
              </w:divBdr>
            </w:div>
            <w:div w:id="1130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0950">
      <w:marLeft w:val="0"/>
      <w:marRight w:val="0"/>
      <w:marTop w:val="0"/>
      <w:marBottom w:val="0"/>
      <w:divBdr>
        <w:top w:val="none" w:sz="0" w:space="0" w:color="auto"/>
        <w:left w:val="none" w:sz="0" w:space="0" w:color="auto"/>
        <w:bottom w:val="none" w:sz="0" w:space="0" w:color="auto"/>
        <w:right w:val="none" w:sz="0" w:space="0" w:color="auto"/>
      </w:divBdr>
      <w:divsChild>
        <w:div w:id="113060939">
          <w:marLeft w:val="0"/>
          <w:marRight w:val="0"/>
          <w:marTop w:val="0"/>
          <w:marBottom w:val="0"/>
          <w:divBdr>
            <w:top w:val="none" w:sz="0" w:space="0" w:color="auto"/>
            <w:left w:val="none" w:sz="0" w:space="0" w:color="auto"/>
            <w:bottom w:val="none" w:sz="0" w:space="0" w:color="auto"/>
            <w:right w:val="none" w:sz="0" w:space="0" w:color="auto"/>
          </w:divBdr>
          <w:divsChild>
            <w:div w:id="113060935">
              <w:marLeft w:val="0"/>
              <w:marRight w:val="0"/>
              <w:marTop w:val="0"/>
              <w:marBottom w:val="0"/>
              <w:divBdr>
                <w:top w:val="none" w:sz="0" w:space="0" w:color="auto"/>
                <w:left w:val="none" w:sz="0" w:space="0" w:color="auto"/>
                <w:bottom w:val="none" w:sz="0" w:space="0" w:color="auto"/>
                <w:right w:val="none" w:sz="0" w:space="0" w:color="auto"/>
              </w:divBdr>
            </w:div>
            <w:div w:id="113060937">
              <w:marLeft w:val="0"/>
              <w:marRight w:val="0"/>
              <w:marTop w:val="0"/>
              <w:marBottom w:val="0"/>
              <w:divBdr>
                <w:top w:val="none" w:sz="0" w:space="0" w:color="auto"/>
                <w:left w:val="none" w:sz="0" w:space="0" w:color="auto"/>
                <w:bottom w:val="none" w:sz="0" w:space="0" w:color="auto"/>
                <w:right w:val="none" w:sz="0" w:space="0" w:color="auto"/>
              </w:divBdr>
            </w:div>
            <w:div w:id="113060943">
              <w:marLeft w:val="0"/>
              <w:marRight w:val="0"/>
              <w:marTop w:val="0"/>
              <w:marBottom w:val="0"/>
              <w:divBdr>
                <w:top w:val="none" w:sz="0" w:space="0" w:color="auto"/>
                <w:left w:val="none" w:sz="0" w:space="0" w:color="auto"/>
                <w:bottom w:val="none" w:sz="0" w:space="0" w:color="auto"/>
                <w:right w:val="none" w:sz="0" w:space="0" w:color="auto"/>
              </w:divBdr>
            </w:div>
            <w:div w:id="1130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0954">
      <w:marLeft w:val="0"/>
      <w:marRight w:val="0"/>
      <w:marTop w:val="0"/>
      <w:marBottom w:val="0"/>
      <w:divBdr>
        <w:top w:val="none" w:sz="0" w:space="0" w:color="auto"/>
        <w:left w:val="none" w:sz="0" w:space="0" w:color="auto"/>
        <w:bottom w:val="none" w:sz="0" w:space="0" w:color="auto"/>
        <w:right w:val="none" w:sz="0" w:space="0" w:color="auto"/>
      </w:divBdr>
      <w:divsChild>
        <w:div w:id="113060940">
          <w:marLeft w:val="0"/>
          <w:marRight w:val="0"/>
          <w:marTop w:val="0"/>
          <w:marBottom w:val="0"/>
          <w:divBdr>
            <w:top w:val="none" w:sz="0" w:space="0" w:color="auto"/>
            <w:left w:val="none" w:sz="0" w:space="0" w:color="auto"/>
            <w:bottom w:val="none" w:sz="0" w:space="0" w:color="auto"/>
            <w:right w:val="none" w:sz="0" w:space="0" w:color="auto"/>
          </w:divBdr>
          <w:divsChild>
            <w:div w:id="113060938">
              <w:marLeft w:val="0"/>
              <w:marRight w:val="0"/>
              <w:marTop w:val="0"/>
              <w:marBottom w:val="0"/>
              <w:divBdr>
                <w:top w:val="none" w:sz="0" w:space="0" w:color="auto"/>
                <w:left w:val="none" w:sz="0" w:space="0" w:color="auto"/>
                <w:bottom w:val="none" w:sz="0" w:space="0" w:color="auto"/>
                <w:right w:val="none" w:sz="0" w:space="0" w:color="auto"/>
              </w:divBdr>
            </w:div>
            <w:div w:id="113060959">
              <w:marLeft w:val="0"/>
              <w:marRight w:val="0"/>
              <w:marTop w:val="0"/>
              <w:marBottom w:val="0"/>
              <w:divBdr>
                <w:top w:val="none" w:sz="0" w:space="0" w:color="auto"/>
                <w:left w:val="none" w:sz="0" w:space="0" w:color="auto"/>
                <w:bottom w:val="none" w:sz="0" w:space="0" w:color="auto"/>
                <w:right w:val="none" w:sz="0" w:space="0" w:color="auto"/>
              </w:divBdr>
            </w:div>
            <w:div w:id="113060961">
              <w:marLeft w:val="0"/>
              <w:marRight w:val="0"/>
              <w:marTop w:val="0"/>
              <w:marBottom w:val="0"/>
              <w:divBdr>
                <w:top w:val="none" w:sz="0" w:space="0" w:color="auto"/>
                <w:left w:val="none" w:sz="0" w:space="0" w:color="auto"/>
                <w:bottom w:val="none" w:sz="0" w:space="0" w:color="auto"/>
                <w:right w:val="none" w:sz="0" w:space="0" w:color="auto"/>
              </w:divBdr>
            </w:div>
            <w:div w:id="1130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816</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ELLES, Miss K (kelles)</cp:lastModifiedBy>
  <cp:revision>9</cp:revision>
  <dcterms:created xsi:type="dcterms:W3CDTF">2016-01-18T09:54:00Z</dcterms:created>
  <dcterms:modified xsi:type="dcterms:W3CDTF">2016-03-03T14:57:00Z</dcterms:modified>
</cp:coreProperties>
</file>