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horzAnchor="margin" w:tblpXSpec="right" w:tblpY="-426"/>
        <w:tblW w:w="14917" w:type="dxa"/>
        <w:tblLook w:val="04A0" w:firstRow="1" w:lastRow="0" w:firstColumn="1" w:lastColumn="0" w:noHBand="0" w:noVBand="1"/>
      </w:tblPr>
      <w:tblGrid>
        <w:gridCol w:w="1720"/>
        <w:gridCol w:w="7774"/>
        <w:gridCol w:w="5423"/>
      </w:tblGrid>
      <w:tr w:rsidR="00C27188" w:rsidRPr="00C27188" w14:paraId="395DC72D" w14:textId="77777777" w:rsidTr="0065007A">
        <w:tc>
          <w:tcPr>
            <w:tcW w:w="1720" w:type="dxa"/>
            <w:shd w:val="clear" w:color="auto" w:fill="auto"/>
          </w:tcPr>
          <w:p w14:paraId="5E43F314" w14:textId="77777777" w:rsidR="00C27188" w:rsidRPr="00C27188" w:rsidRDefault="00C27188" w:rsidP="00C27188">
            <w:pPr>
              <w:spacing w:after="200" w:line="276" w:lineRule="auto"/>
              <w:jc w:val="center"/>
              <w:rPr>
                <w:rFonts w:eastAsia="Calibri" w:cs="Arial"/>
                <w:b/>
                <w:color w:val="auto"/>
                <w:sz w:val="22"/>
              </w:rPr>
            </w:pPr>
            <w:r w:rsidRPr="00C27188">
              <w:rPr>
                <w:rFonts w:eastAsia="Calibri" w:cs="Arial"/>
                <w:b/>
                <w:color w:val="auto"/>
                <w:sz w:val="22"/>
              </w:rPr>
              <w:t>Perspective</w:t>
            </w:r>
          </w:p>
        </w:tc>
        <w:tc>
          <w:tcPr>
            <w:tcW w:w="7774" w:type="dxa"/>
            <w:shd w:val="clear" w:color="auto" w:fill="auto"/>
          </w:tcPr>
          <w:p w14:paraId="6FD138C1" w14:textId="77777777" w:rsidR="00C27188" w:rsidRPr="00C27188" w:rsidRDefault="00C27188" w:rsidP="00C27188">
            <w:pPr>
              <w:spacing w:line="276" w:lineRule="auto"/>
              <w:jc w:val="center"/>
              <w:rPr>
                <w:rFonts w:eastAsia="Calibri" w:cs="Arial"/>
                <w:b/>
                <w:color w:val="auto"/>
                <w:sz w:val="22"/>
              </w:rPr>
            </w:pPr>
            <w:r w:rsidRPr="00C27188">
              <w:rPr>
                <w:rFonts w:eastAsia="Calibri" w:cs="Arial"/>
                <w:b/>
                <w:color w:val="auto"/>
                <w:sz w:val="22"/>
              </w:rPr>
              <w:t>Main ideas and assumptions</w:t>
            </w:r>
          </w:p>
        </w:tc>
        <w:tc>
          <w:tcPr>
            <w:tcW w:w="5423" w:type="dxa"/>
            <w:shd w:val="clear" w:color="auto" w:fill="auto"/>
          </w:tcPr>
          <w:p w14:paraId="487B32EF" w14:textId="77777777" w:rsidR="00C27188" w:rsidRPr="00C27188" w:rsidRDefault="00C27188" w:rsidP="00C27188">
            <w:pPr>
              <w:spacing w:line="276" w:lineRule="auto"/>
              <w:jc w:val="center"/>
              <w:rPr>
                <w:rFonts w:eastAsia="Calibri" w:cs="Arial"/>
                <w:b/>
                <w:color w:val="auto"/>
                <w:sz w:val="22"/>
              </w:rPr>
            </w:pPr>
            <w:r w:rsidRPr="00C27188">
              <w:rPr>
                <w:rFonts w:eastAsia="Calibri" w:cs="Arial"/>
                <w:b/>
                <w:color w:val="auto"/>
                <w:sz w:val="22"/>
              </w:rPr>
              <w:t>Evaluation and analysis</w:t>
            </w:r>
          </w:p>
        </w:tc>
      </w:tr>
      <w:tr w:rsidR="00C27188" w:rsidRPr="00C27188" w14:paraId="24584A9E" w14:textId="77777777" w:rsidTr="0065007A">
        <w:tc>
          <w:tcPr>
            <w:tcW w:w="1720" w:type="dxa"/>
            <w:shd w:val="clear" w:color="auto" w:fill="auto"/>
          </w:tcPr>
          <w:p w14:paraId="174CB0A2" w14:textId="77777777" w:rsidR="00C27188" w:rsidRDefault="00C27188" w:rsidP="00C27188">
            <w:pPr>
              <w:spacing w:after="200" w:line="276" w:lineRule="auto"/>
              <w:rPr>
                <w:rFonts w:eastAsia="Calibri" w:cs="Arial"/>
                <w:b/>
                <w:color w:val="auto"/>
                <w:sz w:val="22"/>
              </w:rPr>
            </w:pPr>
          </w:p>
          <w:p w14:paraId="2D828D6C" w14:textId="77777777" w:rsidR="00C27188" w:rsidRDefault="00C27188" w:rsidP="00C27188">
            <w:pPr>
              <w:spacing w:after="200" w:line="276" w:lineRule="auto"/>
              <w:rPr>
                <w:rFonts w:eastAsia="Calibri" w:cs="Arial"/>
                <w:b/>
                <w:color w:val="auto"/>
                <w:sz w:val="22"/>
              </w:rPr>
            </w:pPr>
          </w:p>
          <w:p w14:paraId="0190A320" w14:textId="7420E874" w:rsidR="00C27188" w:rsidRPr="00C27188" w:rsidRDefault="00C27188" w:rsidP="00C27188">
            <w:pPr>
              <w:spacing w:after="200" w:line="276" w:lineRule="auto"/>
              <w:rPr>
                <w:rFonts w:eastAsia="Calibri" w:cs="Arial"/>
                <w:b/>
                <w:color w:val="auto"/>
                <w:sz w:val="22"/>
              </w:rPr>
            </w:pPr>
            <w:r w:rsidRPr="00C27188">
              <w:rPr>
                <w:rFonts w:eastAsia="Calibri" w:cs="Arial"/>
                <w:b/>
                <w:color w:val="auto"/>
                <w:sz w:val="22"/>
              </w:rPr>
              <w:t>Feminism and Gender</w:t>
            </w:r>
          </w:p>
        </w:tc>
        <w:tc>
          <w:tcPr>
            <w:tcW w:w="7774" w:type="dxa"/>
            <w:shd w:val="clear" w:color="auto" w:fill="auto"/>
          </w:tcPr>
          <w:p w14:paraId="24CEB37B" w14:textId="70AC3DF4" w:rsidR="00C27188" w:rsidRPr="00C27188" w:rsidRDefault="00C27188" w:rsidP="00C27188">
            <w:pPr>
              <w:spacing w:line="276" w:lineRule="auto"/>
              <w:rPr>
                <w:rFonts w:eastAsia="Calibri" w:cs="Arial"/>
                <w:color w:val="auto"/>
                <w:sz w:val="22"/>
              </w:rPr>
            </w:pPr>
            <w:r w:rsidRPr="00C27188">
              <w:rPr>
                <w:rFonts w:eastAsia="Calibri" w:cs="Arial"/>
                <w:color w:val="auto"/>
                <w:sz w:val="22"/>
              </w:rPr>
              <w:t xml:space="preserve">Feminists claimed until the 1980s that education was </w:t>
            </w:r>
            <w:r w:rsidRPr="00C27188">
              <w:rPr>
                <w:rFonts w:eastAsia="Calibri" w:cs="Arial"/>
                <w:b/>
                <w:color w:val="auto"/>
                <w:sz w:val="22"/>
              </w:rPr>
              <w:t>sexist</w:t>
            </w:r>
            <w:r w:rsidRPr="00C27188">
              <w:rPr>
                <w:rFonts w:eastAsia="Calibri" w:cs="Arial"/>
                <w:color w:val="auto"/>
                <w:sz w:val="22"/>
              </w:rPr>
              <w:t xml:space="preserve">.  Girls were disadvantaged in many ways through the curriculum and by sexist attitudes of teachers. Males are still advantaged in terms of </w:t>
            </w:r>
            <w:r w:rsidRPr="00C27188">
              <w:rPr>
                <w:rFonts w:eastAsia="Calibri" w:cs="Arial"/>
                <w:b/>
                <w:color w:val="auto"/>
                <w:sz w:val="22"/>
              </w:rPr>
              <w:t>subject choices</w:t>
            </w:r>
            <w:r w:rsidRPr="00C27188">
              <w:rPr>
                <w:rFonts w:eastAsia="Calibri" w:cs="Arial"/>
                <w:color w:val="auto"/>
                <w:sz w:val="22"/>
              </w:rPr>
              <w:t xml:space="preserve"> which lead them into higher paid jobs.  A </w:t>
            </w:r>
            <w:r w:rsidRPr="00C27188">
              <w:rPr>
                <w:rFonts w:eastAsia="Calibri" w:cs="Arial"/>
                <w:b/>
                <w:color w:val="auto"/>
                <w:sz w:val="22"/>
              </w:rPr>
              <w:t>genderquake</w:t>
            </w:r>
            <w:r w:rsidRPr="00C27188">
              <w:rPr>
                <w:rFonts w:eastAsia="Calibri" w:cs="Arial"/>
                <w:color w:val="auto"/>
                <w:sz w:val="22"/>
              </w:rPr>
              <w:t xml:space="preserve"> has shaken gender roles and girls are now our performing boys in all areas. Although males are still dominating science subjects.  Reasons given for the change include feminism and changing attitudes of girls, </w:t>
            </w:r>
            <w:r w:rsidRPr="00C27188">
              <w:rPr>
                <w:rFonts w:eastAsia="Calibri" w:cs="Arial"/>
                <w:b/>
                <w:color w:val="auto"/>
                <w:sz w:val="22"/>
              </w:rPr>
              <w:t>crisis of masculinity</w:t>
            </w:r>
            <w:r w:rsidRPr="00C27188">
              <w:rPr>
                <w:rFonts w:eastAsia="Calibri" w:cs="Arial"/>
                <w:color w:val="auto"/>
                <w:sz w:val="22"/>
              </w:rPr>
              <w:t>, feminised education, changes in GCSEs (coursework which favours girls).</w:t>
            </w:r>
          </w:p>
        </w:tc>
        <w:tc>
          <w:tcPr>
            <w:tcW w:w="5423" w:type="dxa"/>
            <w:shd w:val="clear" w:color="auto" w:fill="auto"/>
          </w:tcPr>
          <w:p w14:paraId="28C839A5" w14:textId="1A378A65" w:rsidR="00C27188" w:rsidRPr="00C27188" w:rsidRDefault="00C27188" w:rsidP="00C27188">
            <w:pPr>
              <w:spacing w:line="276" w:lineRule="auto"/>
              <w:rPr>
                <w:rFonts w:eastAsia="Calibri" w:cs="Arial"/>
                <w:color w:val="auto"/>
                <w:sz w:val="22"/>
              </w:rPr>
            </w:pPr>
            <w:bookmarkStart w:id="0" w:name="_GoBack"/>
            <w:bookmarkEnd w:id="0"/>
            <w:r w:rsidRPr="00C27188">
              <w:rPr>
                <w:rFonts w:eastAsia="Calibri" w:cs="Arial"/>
                <w:color w:val="auto"/>
                <w:sz w:val="22"/>
              </w:rPr>
              <w:t xml:space="preserve">Feminists ignore differences in class and ethnicity.  Middle class boys are still doing better than working class girls and some ethnic groups </w:t>
            </w:r>
            <w:proofErr w:type="spellStart"/>
            <w:r w:rsidRPr="00C27188">
              <w:rPr>
                <w:rFonts w:eastAsia="Calibri" w:cs="Arial"/>
                <w:color w:val="auto"/>
                <w:sz w:val="22"/>
              </w:rPr>
              <w:t>e.g</w:t>
            </w:r>
            <w:proofErr w:type="spellEnd"/>
            <w:r w:rsidRPr="00C27188">
              <w:rPr>
                <w:rFonts w:eastAsia="Calibri" w:cs="Arial"/>
                <w:color w:val="auto"/>
                <w:sz w:val="22"/>
              </w:rPr>
              <w:t xml:space="preserve"> black boys are more disadvantaged.  Boys are not underachieving they are improving but not as fast as girls. Girls may be doing better in education but they are still not catching up in the job market.</w:t>
            </w:r>
          </w:p>
        </w:tc>
      </w:tr>
      <w:tr w:rsidR="00C27188" w:rsidRPr="00C27188" w14:paraId="5999E8A2" w14:textId="77777777" w:rsidTr="0065007A">
        <w:tc>
          <w:tcPr>
            <w:tcW w:w="1720" w:type="dxa"/>
            <w:shd w:val="clear" w:color="auto" w:fill="auto"/>
          </w:tcPr>
          <w:p w14:paraId="4FD67C3A" w14:textId="77777777" w:rsidR="00C27188" w:rsidRPr="00C27188" w:rsidRDefault="00C27188" w:rsidP="00C27188">
            <w:pPr>
              <w:spacing w:after="200" w:line="276" w:lineRule="auto"/>
              <w:rPr>
                <w:rFonts w:eastAsia="Calibri" w:cs="Arial"/>
                <w:b/>
                <w:color w:val="auto"/>
                <w:sz w:val="22"/>
              </w:rPr>
            </w:pPr>
            <w:r w:rsidRPr="00C27188">
              <w:rPr>
                <w:rFonts w:eastAsia="Calibri" w:cs="Arial"/>
                <w:b/>
                <w:color w:val="auto"/>
                <w:sz w:val="22"/>
              </w:rPr>
              <w:t>New Right</w:t>
            </w:r>
          </w:p>
        </w:tc>
        <w:tc>
          <w:tcPr>
            <w:tcW w:w="7774" w:type="dxa"/>
            <w:shd w:val="clear" w:color="auto" w:fill="auto"/>
          </w:tcPr>
          <w:p w14:paraId="31135E96" w14:textId="77777777" w:rsidR="00C27188" w:rsidRPr="00C27188" w:rsidRDefault="00C27188" w:rsidP="00C27188">
            <w:pPr>
              <w:spacing w:line="276" w:lineRule="auto"/>
              <w:rPr>
                <w:rFonts w:eastAsia="Calibri" w:cs="Arial"/>
                <w:color w:val="auto"/>
                <w:sz w:val="22"/>
              </w:rPr>
            </w:pPr>
            <w:r w:rsidRPr="00C27188">
              <w:rPr>
                <w:rFonts w:eastAsia="Calibri" w:cs="Arial"/>
                <w:color w:val="auto"/>
                <w:sz w:val="22"/>
              </w:rPr>
              <w:t xml:space="preserve">Margaret Thatcher’s govt introduced </w:t>
            </w:r>
            <w:r w:rsidRPr="00C27188">
              <w:rPr>
                <w:rFonts w:eastAsia="Calibri" w:cs="Arial"/>
                <w:b/>
                <w:color w:val="auto"/>
                <w:sz w:val="22"/>
              </w:rPr>
              <w:t>marketisation</w:t>
            </w:r>
            <w:r w:rsidRPr="00C27188">
              <w:rPr>
                <w:rFonts w:eastAsia="Calibri" w:cs="Arial"/>
                <w:color w:val="auto"/>
                <w:sz w:val="22"/>
              </w:rPr>
              <w:t xml:space="preserve"> in education.  British children were unskilled for the changing job market and education needed to improve. If schools compete for customers they will have incentive to improve. They introduced the </w:t>
            </w:r>
            <w:r w:rsidRPr="00C27188">
              <w:rPr>
                <w:rFonts w:eastAsia="Calibri" w:cs="Arial"/>
                <w:b/>
                <w:color w:val="auto"/>
                <w:sz w:val="22"/>
              </w:rPr>
              <w:t xml:space="preserve">national curriculum </w:t>
            </w:r>
            <w:r w:rsidRPr="00C27188">
              <w:rPr>
                <w:rFonts w:eastAsia="Calibri" w:cs="Arial"/>
                <w:color w:val="auto"/>
                <w:sz w:val="22"/>
              </w:rPr>
              <w:t xml:space="preserve">to make education more suited to the workforce. In 1988 </w:t>
            </w:r>
            <w:r w:rsidRPr="00C27188">
              <w:rPr>
                <w:rFonts w:eastAsia="Calibri" w:cs="Arial"/>
                <w:b/>
                <w:color w:val="auto"/>
                <w:sz w:val="22"/>
              </w:rPr>
              <w:t>league tables were introduced and then SATS, Ofsted, and funding based on roll numbers</w:t>
            </w:r>
            <w:r w:rsidRPr="00C27188">
              <w:rPr>
                <w:rFonts w:eastAsia="Calibri" w:cs="Arial"/>
                <w:color w:val="auto"/>
                <w:sz w:val="22"/>
              </w:rPr>
              <w:t xml:space="preserve">.  Schools altered their practice to maximise position in league tables </w:t>
            </w:r>
            <w:proofErr w:type="spellStart"/>
            <w:r w:rsidRPr="00C27188">
              <w:rPr>
                <w:rFonts w:eastAsia="Calibri" w:cs="Arial"/>
                <w:color w:val="auto"/>
                <w:sz w:val="22"/>
              </w:rPr>
              <w:t>e.g</w:t>
            </w:r>
            <w:proofErr w:type="spellEnd"/>
            <w:r w:rsidRPr="00C27188">
              <w:rPr>
                <w:rFonts w:eastAsia="Calibri" w:cs="Arial"/>
                <w:color w:val="auto"/>
                <w:sz w:val="22"/>
              </w:rPr>
              <w:t xml:space="preserve"> </w:t>
            </w:r>
            <w:r w:rsidRPr="00C27188">
              <w:rPr>
                <w:rFonts w:eastAsia="Calibri" w:cs="Arial"/>
                <w:b/>
                <w:color w:val="auto"/>
                <w:sz w:val="22"/>
              </w:rPr>
              <w:t>triage, cream skimming, silt shifting.</w:t>
            </w:r>
            <w:r w:rsidRPr="00C27188">
              <w:rPr>
                <w:rFonts w:eastAsia="Calibri" w:cs="Arial"/>
                <w:color w:val="auto"/>
                <w:sz w:val="22"/>
              </w:rPr>
              <w:t xml:space="preserve"> Schools were competing with each other to sell their ability to get A-C grades and Parents (customers) were essentially shopping for a good product </w:t>
            </w:r>
            <w:r w:rsidRPr="00C27188">
              <w:rPr>
                <w:rFonts w:eastAsia="Calibri" w:cs="Arial"/>
                <w:b/>
                <w:color w:val="auto"/>
                <w:sz w:val="22"/>
              </w:rPr>
              <w:t>(The A-C economy</w:t>
            </w:r>
            <w:r w:rsidRPr="00C27188">
              <w:rPr>
                <w:rFonts w:eastAsia="Calibri" w:cs="Arial"/>
                <w:color w:val="auto"/>
                <w:sz w:val="22"/>
              </w:rPr>
              <w:t xml:space="preserve">). </w:t>
            </w:r>
          </w:p>
        </w:tc>
        <w:tc>
          <w:tcPr>
            <w:tcW w:w="5423" w:type="dxa"/>
            <w:shd w:val="clear" w:color="auto" w:fill="auto"/>
          </w:tcPr>
          <w:p w14:paraId="2955BF55" w14:textId="77777777" w:rsidR="00C27188" w:rsidRPr="00C27188" w:rsidRDefault="00C27188" w:rsidP="00C27188">
            <w:pPr>
              <w:spacing w:line="276" w:lineRule="auto"/>
              <w:rPr>
                <w:rFonts w:eastAsia="Calibri" w:cs="Arial"/>
                <w:color w:val="auto"/>
                <w:sz w:val="22"/>
              </w:rPr>
            </w:pPr>
            <w:r w:rsidRPr="00C27188">
              <w:rPr>
                <w:rFonts w:eastAsia="Calibri" w:cs="Arial"/>
                <w:color w:val="auto"/>
                <w:sz w:val="22"/>
              </w:rPr>
              <w:t xml:space="preserve">The New Right is accused of </w:t>
            </w:r>
            <w:r w:rsidRPr="00C27188">
              <w:rPr>
                <w:rFonts w:eastAsia="Calibri" w:cs="Arial"/>
                <w:b/>
                <w:color w:val="auto"/>
                <w:sz w:val="22"/>
              </w:rPr>
              <w:t>increasing inequality</w:t>
            </w:r>
            <w:r w:rsidRPr="00C27188">
              <w:rPr>
                <w:rFonts w:eastAsia="Calibri" w:cs="Arial"/>
                <w:color w:val="auto"/>
                <w:sz w:val="22"/>
              </w:rPr>
              <w:t xml:space="preserve"> in education.  Successful schools got plenty of funding and attracted more </w:t>
            </w:r>
            <w:proofErr w:type="gramStart"/>
            <w:r w:rsidRPr="00C27188">
              <w:rPr>
                <w:rFonts w:eastAsia="Calibri" w:cs="Arial"/>
                <w:color w:val="auto"/>
                <w:sz w:val="22"/>
              </w:rPr>
              <w:t>middle class</w:t>
            </w:r>
            <w:proofErr w:type="gramEnd"/>
            <w:r w:rsidRPr="00C27188">
              <w:rPr>
                <w:rFonts w:eastAsia="Calibri" w:cs="Arial"/>
                <w:color w:val="auto"/>
                <w:sz w:val="22"/>
              </w:rPr>
              <w:t xml:space="preserve"> children increasing their success.  Other schools were left </w:t>
            </w:r>
            <w:proofErr w:type="spellStart"/>
            <w:r w:rsidRPr="00C27188">
              <w:rPr>
                <w:rFonts w:eastAsia="Calibri" w:cs="Arial"/>
                <w:b/>
                <w:color w:val="auto"/>
                <w:sz w:val="22"/>
              </w:rPr>
              <w:t>under funded</w:t>
            </w:r>
            <w:proofErr w:type="spellEnd"/>
            <w:r w:rsidRPr="00C27188">
              <w:rPr>
                <w:rFonts w:eastAsia="Calibri" w:cs="Arial"/>
                <w:color w:val="auto"/>
                <w:sz w:val="22"/>
              </w:rPr>
              <w:t xml:space="preserve"> and mostly containing working class children </w:t>
            </w:r>
            <w:proofErr w:type="spellStart"/>
            <w:proofErr w:type="gramStart"/>
            <w:r w:rsidRPr="00C27188">
              <w:rPr>
                <w:rFonts w:eastAsia="Calibri" w:cs="Arial"/>
                <w:color w:val="auto"/>
                <w:sz w:val="22"/>
              </w:rPr>
              <w:t>who’s</w:t>
            </w:r>
            <w:proofErr w:type="spellEnd"/>
            <w:proofErr w:type="gramEnd"/>
            <w:r w:rsidRPr="00C27188">
              <w:rPr>
                <w:rFonts w:eastAsia="Calibri" w:cs="Arial"/>
                <w:color w:val="auto"/>
                <w:sz w:val="22"/>
              </w:rPr>
              <w:t xml:space="preserve"> parent could not get places in the better schools.  Setting and Streaming increased unequal opportunities in schools and teachers started to focus on children who would boost league tables the most </w:t>
            </w:r>
            <w:proofErr w:type="spellStart"/>
            <w:r w:rsidRPr="00C27188">
              <w:rPr>
                <w:rFonts w:eastAsia="Calibri" w:cs="Arial"/>
                <w:color w:val="auto"/>
                <w:sz w:val="22"/>
              </w:rPr>
              <w:t>i.e</w:t>
            </w:r>
            <w:proofErr w:type="spellEnd"/>
            <w:r w:rsidRPr="00C27188">
              <w:rPr>
                <w:rFonts w:eastAsia="Calibri" w:cs="Arial"/>
                <w:color w:val="auto"/>
                <w:sz w:val="22"/>
              </w:rPr>
              <w:t xml:space="preserve"> </w:t>
            </w:r>
            <w:r w:rsidRPr="00C27188">
              <w:rPr>
                <w:rFonts w:eastAsia="Calibri" w:cs="Arial"/>
                <w:b/>
                <w:color w:val="auto"/>
                <w:sz w:val="22"/>
              </w:rPr>
              <w:t>border line students</w:t>
            </w:r>
            <w:r w:rsidRPr="00C27188">
              <w:rPr>
                <w:rFonts w:eastAsia="Calibri" w:cs="Arial"/>
                <w:color w:val="auto"/>
                <w:sz w:val="22"/>
              </w:rPr>
              <w:t xml:space="preserve">.  </w:t>
            </w:r>
          </w:p>
        </w:tc>
      </w:tr>
      <w:tr w:rsidR="00C27188" w:rsidRPr="00C27188" w14:paraId="2642714A" w14:textId="77777777" w:rsidTr="0065007A">
        <w:tc>
          <w:tcPr>
            <w:tcW w:w="1720" w:type="dxa"/>
            <w:shd w:val="clear" w:color="auto" w:fill="auto"/>
          </w:tcPr>
          <w:p w14:paraId="007E7702" w14:textId="77777777" w:rsidR="00C27188" w:rsidRPr="00C27188" w:rsidRDefault="00C27188" w:rsidP="00C27188">
            <w:pPr>
              <w:spacing w:after="200" w:line="276" w:lineRule="auto"/>
              <w:rPr>
                <w:rFonts w:eastAsia="Calibri" w:cs="Arial"/>
                <w:b/>
                <w:color w:val="auto"/>
                <w:sz w:val="22"/>
              </w:rPr>
            </w:pPr>
            <w:r w:rsidRPr="00C27188">
              <w:rPr>
                <w:rFonts w:eastAsia="Calibri" w:cs="Arial"/>
                <w:b/>
                <w:color w:val="auto"/>
                <w:sz w:val="22"/>
              </w:rPr>
              <w:t>Interactionism and factors inside school</w:t>
            </w:r>
          </w:p>
        </w:tc>
        <w:tc>
          <w:tcPr>
            <w:tcW w:w="7774" w:type="dxa"/>
            <w:shd w:val="clear" w:color="auto" w:fill="auto"/>
          </w:tcPr>
          <w:p w14:paraId="0EA82746" w14:textId="77777777" w:rsidR="00C27188" w:rsidRPr="00C27188" w:rsidRDefault="00C27188" w:rsidP="00C27188">
            <w:pPr>
              <w:spacing w:line="276" w:lineRule="auto"/>
              <w:rPr>
                <w:rFonts w:eastAsia="Calibri" w:cs="Arial"/>
                <w:color w:val="auto"/>
                <w:sz w:val="22"/>
              </w:rPr>
            </w:pPr>
            <w:r w:rsidRPr="00C27188">
              <w:rPr>
                <w:rFonts w:eastAsia="Calibri" w:cs="Arial"/>
                <w:color w:val="auto"/>
                <w:sz w:val="22"/>
              </w:rPr>
              <w:t xml:space="preserve">Interactionists focus on relationships and interactions between teachers and pupils in schools. Teachers create </w:t>
            </w:r>
            <w:proofErr w:type="gramStart"/>
            <w:r w:rsidRPr="00C27188">
              <w:rPr>
                <w:rFonts w:eastAsia="Calibri" w:cs="Arial"/>
                <w:color w:val="auto"/>
                <w:sz w:val="22"/>
              </w:rPr>
              <w:t xml:space="preserve">an  </w:t>
            </w:r>
            <w:r w:rsidRPr="00C27188">
              <w:rPr>
                <w:rFonts w:eastAsia="Calibri" w:cs="Arial"/>
                <w:b/>
                <w:color w:val="auto"/>
                <w:sz w:val="22"/>
              </w:rPr>
              <w:t>‘</w:t>
            </w:r>
            <w:proofErr w:type="gramEnd"/>
            <w:r w:rsidRPr="00C27188">
              <w:rPr>
                <w:rFonts w:eastAsia="Calibri" w:cs="Arial"/>
                <w:b/>
                <w:color w:val="auto"/>
                <w:sz w:val="22"/>
              </w:rPr>
              <w:t>ideal’ pupil image</w:t>
            </w:r>
            <w:r w:rsidRPr="00C27188">
              <w:rPr>
                <w:rFonts w:eastAsia="Calibri" w:cs="Arial"/>
                <w:color w:val="auto"/>
                <w:sz w:val="22"/>
              </w:rPr>
              <w:t xml:space="preserve"> and compare students to this image, well behaved, polite, obedient, hard working.  Students are do not match the ideal image are </w:t>
            </w:r>
            <w:r w:rsidRPr="00C27188">
              <w:rPr>
                <w:rFonts w:eastAsia="Calibri" w:cs="Arial"/>
                <w:b/>
                <w:color w:val="auto"/>
                <w:sz w:val="22"/>
              </w:rPr>
              <w:t>labelled</w:t>
            </w:r>
            <w:r w:rsidRPr="00C27188">
              <w:rPr>
                <w:rFonts w:eastAsia="Calibri" w:cs="Arial"/>
                <w:color w:val="auto"/>
                <w:sz w:val="22"/>
              </w:rPr>
              <w:t xml:space="preserve"> as less able, trouble makers etc.  Students </w:t>
            </w:r>
            <w:r w:rsidRPr="00C27188">
              <w:rPr>
                <w:rFonts w:eastAsia="Calibri" w:cs="Arial"/>
                <w:b/>
                <w:color w:val="auto"/>
                <w:sz w:val="22"/>
              </w:rPr>
              <w:t>self-</w:t>
            </w:r>
            <w:proofErr w:type="spellStart"/>
            <w:r w:rsidRPr="00C27188">
              <w:rPr>
                <w:rFonts w:eastAsia="Calibri" w:cs="Arial"/>
                <w:b/>
                <w:color w:val="auto"/>
                <w:sz w:val="22"/>
              </w:rPr>
              <w:t>fulfill</w:t>
            </w:r>
            <w:proofErr w:type="spellEnd"/>
            <w:r w:rsidRPr="00C27188">
              <w:rPr>
                <w:rFonts w:eastAsia="Calibri" w:cs="Arial"/>
                <w:color w:val="auto"/>
                <w:sz w:val="22"/>
              </w:rPr>
              <w:t xml:space="preserve"> the label. Negative labels are attached to working class children more often because teachers are middle class.  Teachers may also label ethnic minority children as less able.</w:t>
            </w:r>
          </w:p>
        </w:tc>
        <w:tc>
          <w:tcPr>
            <w:tcW w:w="5423" w:type="dxa"/>
            <w:shd w:val="clear" w:color="auto" w:fill="auto"/>
          </w:tcPr>
          <w:p w14:paraId="63F76DF6" w14:textId="77777777" w:rsidR="00C27188" w:rsidRPr="00C27188" w:rsidRDefault="00C27188" w:rsidP="00C27188">
            <w:pPr>
              <w:spacing w:line="276" w:lineRule="auto"/>
              <w:rPr>
                <w:rFonts w:eastAsia="Calibri" w:cs="Arial"/>
                <w:color w:val="auto"/>
                <w:sz w:val="22"/>
              </w:rPr>
            </w:pPr>
            <w:r w:rsidRPr="00C27188">
              <w:rPr>
                <w:rFonts w:eastAsia="Calibri" w:cs="Arial"/>
                <w:color w:val="auto"/>
                <w:sz w:val="22"/>
              </w:rPr>
              <w:t xml:space="preserve">Interactionists ignore that people have </w:t>
            </w:r>
            <w:r w:rsidRPr="00C27188">
              <w:rPr>
                <w:rFonts w:eastAsia="Calibri" w:cs="Arial"/>
                <w:b/>
                <w:color w:val="auto"/>
                <w:sz w:val="22"/>
              </w:rPr>
              <w:t>free-will.</w:t>
            </w:r>
            <w:r w:rsidRPr="00C27188">
              <w:rPr>
                <w:rFonts w:eastAsia="Calibri" w:cs="Arial"/>
                <w:color w:val="auto"/>
                <w:sz w:val="22"/>
              </w:rPr>
              <w:t xml:space="preserve">  Children can reject labels given to them and choose to succeed in education anyway.  Teachers are not unaware of issues that disadvantage children. Teachers are aware that their expectations will affect pupils.  This perspective ignores the idea that teacher labels may be accurate.</w:t>
            </w:r>
          </w:p>
        </w:tc>
      </w:tr>
      <w:tr w:rsidR="00C27188" w:rsidRPr="00C27188" w14:paraId="7297404B" w14:textId="77777777" w:rsidTr="0065007A">
        <w:tc>
          <w:tcPr>
            <w:tcW w:w="1720" w:type="dxa"/>
            <w:shd w:val="clear" w:color="auto" w:fill="auto"/>
          </w:tcPr>
          <w:p w14:paraId="01C4B32E" w14:textId="77777777" w:rsidR="00C27188" w:rsidRPr="00C27188" w:rsidRDefault="00C27188" w:rsidP="00C27188">
            <w:pPr>
              <w:spacing w:after="200" w:line="276" w:lineRule="auto"/>
              <w:rPr>
                <w:rFonts w:eastAsia="Calibri" w:cs="Arial"/>
                <w:b/>
                <w:color w:val="auto"/>
                <w:sz w:val="22"/>
              </w:rPr>
            </w:pPr>
          </w:p>
        </w:tc>
        <w:tc>
          <w:tcPr>
            <w:tcW w:w="7774" w:type="dxa"/>
            <w:shd w:val="clear" w:color="auto" w:fill="auto"/>
          </w:tcPr>
          <w:p w14:paraId="721A9884" w14:textId="77777777" w:rsidR="00C27188" w:rsidRPr="00C27188" w:rsidRDefault="00C27188" w:rsidP="00C27188">
            <w:pPr>
              <w:spacing w:line="276" w:lineRule="auto"/>
              <w:rPr>
                <w:rFonts w:eastAsia="Calibri" w:cs="Arial"/>
                <w:color w:val="auto"/>
                <w:sz w:val="22"/>
              </w:rPr>
            </w:pPr>
          </w:p>
        </w:tc>
        <w:tc>
          <w:tcPr>
            <w:tcW w:w="5423" w:type="dxa"/>
            <w:shd w:val="clear" w:color="auto" w:fill="auto"/>
          </w:tcPr>
          <w:p w14:paraId="0159F1A0" w14:textId="77777777" w:rsidR="00C27188" w:rsidRPr="00C27188" w:rsidRDefault="00C27188" w:rsidP="00C27188">
            <w:pPr>
              <w:spacing w:line="276" w:lineRule="auto"/>
              <w:rPr>
                <w:rFonts w:eastAsia="Calibri" w:cs="Arial"/>
                <w:color w:val="auto"/>
                <w:sz w:val="22"/>
              </w:rPr>
            </w:pPr>
          </w:p>
        </w:tc>
      </w:tr>
    </w:tbl>
    <w:p w14:paraId="2F8A6DCA" w14:textId="77777777" w:rsidR="00C27188" w:rsidRPr="00C27188" w:rsidRDefault="00C27188" w:rsidP="00C27188">
      <w:pPr>
        <w:spacing w:after="200" w:line="276" w:lineRule="auto"/>
        <w:rPr>
          <w:rFonts w:ascii="Arial Narrow" w:eastAsia="Calibri" w:hAnsi="Arial Narrow" w:cs="Times New Roman"/>
          <w:color w:val="auto"/>
          <w:sz w:val="22"/>
        </w:rPr>
      </w:pPr>
    </w:p>
    <w:p w14:paraId="42A2C099" w14:textId="77777777" w:rsidR="000E495E" w:rsidRDefault="000E495E"/>
    <w:sectPr w:rsidR="000E495E" w:rsidSect="00E77454">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BCE14" w14:textId="77777777" w:rsidR="009F2013" w:rsidRDefault="009F2013">
      <w:r>
        <w:separator/>
      </w:r>
    </w:p>
  </w:endnote>
  <w:endnote w:type="continuationSeparator" w:id="0">
    <w:p w14:paraId="4DF9B701" w14:textId="77777777" w:rsidR="009F2013" w:rsidRDefault="009F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18C25" w14:textId="77777777" w:rsidR="009F2013" w:rsidRDefault="009F2013">
      <w:r>
        <w:separator/>
      </w:r>
    </w:p>
  </w:footnote>
  <w:footnote w:type="continuationSeparator" w:id="0">
    <w:p w14:paraId="49C44427" w14:textId="77777777" w:rsidR="009F2013" w:rsidRDefault="009F2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Look w:val="04A0" w:firstRow="1" w:lastRow="0" w:firstColumn="1" w:lastColumn="0" w:noHBand="0" w:noVBand="1"/>
    </w:tblPr>
    <w:tblGrid>
      <w:gridCol w:w="13948"/>
    </w:tblGrid>
    <w:tr w:rsidR="00E77454" w14:paraId="3A3A2C1A" w14:textId="77777777" w:rsidTr="00E77454">
      <w:tc>
        <w:tcPr>
          <w:tcW w:w="14174" w:type="dxa"/>
        </w:tcPr>
        <w:p w14:paraId="6CA2BD04" w14:textId="77777777" w:rsidR="00E77454" w:rsidRPr="00C240B6" w:rsidRDefault="007138B7" w:rsidP="00DD7AC0">
          <w:pPr>
            <w:pStyle w:val="Header1"/>
            <w:jc w:val="center"/>
            <w:rPr>
              <w:rFonts w:ascii="Arial" w:hAnsi="Arial" w:cs="Arial"/>
              <w:b/>
              <w:sz w:val="24"/>
              <w:szCs w:val="24"/>
            </w:rPr>
          </w:pPr>
          <w:r w:rsidRPr="00C240B6">
            <w:rPr>
              <w:rFonts w:ascii="Arial" w:hAnsi="Arial" w:cs="Arial"/>
              <w:b/>
              <w:sz w:val="24"/>
              <w:szCs w:val="24"/>
            </w:rPr>
            <w:t xml:space="preserve">Synoptic </w:t>
          </w:r>
          <w:proofErr w:type="gramStart"/>
          <w:r w:rsidRPr="00C240B6">
            <w:rPr>
              <w:rFonts w:ascii="Arial" w:hAnsi="Arial" w:cs="Arial"/>
              <w:b/>
              <w:sz w:val="24"/>
              <w:szCs w:val="24"/>
            </w:rPr>
            <w:t>overview  of</w:t>
          </w:r>
          <w:proofErr w:type="gramEnd"/>
          <w:r w:rsidRPr="00C240B6">
            <w:rPr>
              <w:rFonts w:ascii="Arial" w:hAnsi="Arial" w:cs="Arial"/>
              <w:b/>
              <w:sz w:val="24"/>
              <w:szCs w:val="24"/>
            </w:rPr>
            <w:t xml:space="preserve">  Education – Understanding Culture</w:t>
          </w:r>
        </w:p>
      </w:tc>
    </w:tr>
  </w:tbl>
  <w:p w14:paraId="64BABFC7" w14:textId="77777777" w:rsidR="00E77454" w:rsidRDefault="009F2013" w:rsidP="00E77454">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88"/>
    <w:rsid w:val="000E495E"/>
    <w:rsid w:val="00106CC2"/>
    <w:rsid w:val="004A44B9"/>
    <w:rsid w:val="0065007A"/>
    <w:rsid w:val="007138B7"/>
    <w:rsid w:val="007E5C76"/>
    <w:rsid w:val="009F2013"/>
    <w:rsid w:val="00B33A71"/>
    <w:rsid w:val="00C240B6"/>
    <w:rsid w:val="00C27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8427"/>
  <w15:chartTrackingRefBased/>
  <w15:docId w15:val="{8829EAB0-E1BD-4F96-9C85-AFBA3CB2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C76"/>
    <w:rPr>
      <w:rFonts w:ascii="Arial" w:hAnsi="Arial"/>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C27188"/>
    <w:pPr>
      <w:tabs>
        <w:tab w:val="center" w:pos="4513"/>
        <w:tab w:val="right" w:pos="9026"/>
      </w:tabs>
    </w:pPr>
    <w:rPr>
      <w:rFonts w:asciiTheme="minorHAnsi" w:hAnsiTheme="minorHAnsi"/>
      <w:color w:val="auto"/>
      <w:sz w:val="22"/>
    </w:rPr>
  </w:style>
  <w:style w:type="character" w:customStyle="1" w:styleId="HeaderChar">
    <w:name w:val="Header Char"/>
    <w:basedOn w:val="DefaultParagraphFont"/>
    <w:link w:val="Header1"/>
    <w:uiPriority w:val="99"/>
    <w:rsid w:val="00C27188"/>
  </w:style>
  <w:style w:type="table" w:customStyle="1" w:styleId="TableGrid1">
    <w:name w:val="Table Grid1"/>
    <w:basedOn w:val="TableNormal"/>
    <w:next w:val="TableGrid"/>
    <w:uiPriority w:val="59"/>
    <w:rsid w:val="00C2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1"/>
    <w:uiPriority w:val="99"/>
    <w:unhideWhenUsed/>
    <w:rsid w:val="00C27188"/>
    <w:pPr>
      <w:tabs>
        <w:tab w:val="center" w:pos="4513"/>
        <w:tab w:val="right" w:pos="9026"/>
      </w:tabs>
    </w:pPr>
  </w:style>
  <w:style w:type="character" w:customStyle="1" w:styleId="HeaderChar1">
    <w:name w:val="Header Char1"/>
    <w:basedOn w:val="DefaultParagraphFont"/>
    <w:link w:val="Header"/>
    <w:uiPriority w:val="99"/>
    <w:rsid w:val="00C27188"/>
    <w:rPr>
      <w:rFonts w:ascii="Arial" w:hAnsi="Arial"/>
      <w:color w:val="000000" w:themeColor="text1"/>
      <w:sz w:val="24"/>
    </w:rPr>
  </w:style>
  <w:style w:type="table" w:styleId="TableGrid">
    <w:name w:val="Table Grid"/>
    <w:basedOn w:val="TableNormal"/>
    <w:uiPriority w:val="39"/>
    <w:rsid w:val="00C27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240B6"/>
    <w:pPr>
      <w:tabs>
        <w:tab w:val="center" w:pos="4513"/>
        <w:tab w:val="right" w:pos="9026"/>
      </w:tabs>
    </w:pPr>
  </w:style>
  <w:style w:type="character" w:customStyle="1" w:styleId="FooterChar">
    <w:name w:val="Footer Char"/>
    <w:basedOn w:val="DefaultParagraphFont"/>
    <w:link w:val="Footer"/>
    <w:uiPriority w:val="99"/>
    <w:rsid w:val="00C240B6"/>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2018-02-20T09:31:00Z</dcterms:created>
  <dcterms:modified xsi:type="dcterms:W3CDTF">2018-02-20T09:32:00Z</dcterms:modified>
</cp:coreProperties>
</file>