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3856"/>
        <w:gridCol w:w="3886"/>
        <w:gridCol w:w="3856"/>
      </w:tblGrid>
      <w:tr w:rsidR="00C62B8F" w:rsidRPr="00686ED4">
        <w:trPr>
          <w:trHeight w:val="406"/>
        </w:trPr>
        <w:tc>
          <w:tcPr>
            <w:tcW w:w="15614" w:type="dxa"/>
            <w:gridSpan w:val="4"/>
            <w:shd w:val="clear" w:color="auto" w:fill="auto"/>
          </w:tcPr>
          <w:p w:rsidR="00C62B8F" w:rsidRDefault="006C2D6B" w:rsidP="00017690">
            <w:pPr>
              <w:spacing w:after="0" w:line="240" w:lineRule="auto"/>
              <w:jc w:val="center"/>
              <w:rPr>
                <w:rFonts w:cs="Calibri"/>
                <w:b/>
                <w:sz w:val="23"/>
                <w:szCs w:val="23"/>
                <w:u w:val="single"/>
              </w:rPr>
            </w:pPr>
            <w:bookmarkStart w:id="0" w:name="_GoBack"/>
            <w:bookmarkEnd w:id="0"/>
            <w:r w:rsidRPr="00686ED4">
              <w:rPr>
                <w:rFonts w:cs="Calibri"/>
                <w:b/>
                <w:sz w:val="23"/>
                <w:szCs w:val="23"/>
                <w:u w:val="single"/>
              </w:rPr>
              <w:t>LT 2</w:t>
            </w:r>
            <w:r w:rsidR="0008770B" w:rsidRPr="00686ED4">
              <w:rPr>
                <w:rFonts w:cs="Calibri"/>
                <w:b/>
                <w:sz w:val="23"/>
                <w:szCs w:val="23"/>
                <w:u w:val="single"/>
              </w:rPr>
              <w:t xml:space="preserve">: </w:t>
            </w:r>
            <w:r w:rsidR="00017690" w:rsidRPr="00686ED4">
              <w:rPr>
                <w:rFonts w:cs="Calibri"/>
                <w:b/>
                <w:sz w:val="23"/>
                <w:szCs w:val="23"/>
                <w:u w:val="single"/>
              </w:rPr>
              <w:t>Attachment</w:t>
            </w:r>
            <w:r w:rsidR="0008770B" w:rsidRPr="00686ED4">
              <w:rPr>
                <w:rFonts w:cs="Calibri"/>
                <w:b/>
                <w:sz w:val="23"/>
                <w:szCs w:val="23"/>
                <w:u w:val="single"/>
              </w:rPr>
              <w:t xml:space="preserve">: </w:t>
            </w:r>
            <w:r w:rsidRPr="00686ED4">
              <w:rPr>
                <w:rFonts w:cs="Calibri"/>
                <w:b/>
                <w:sz w:val="23"/>
                <w:szCs w:val="23"/>
                <w:u w:val="single"/>
              </w:rPr>
              <w:t>Core Theory: Bowlby’s Theory</w:t>
            </w:r>
          </w:p>
          <w:p w:rsidR="00D47EAA" w:rsidRPr="00D47EAA" w:rsidRDefault="00D47EAA" w:rsidP="00D47EAA">
            <w:pPr>
              <w:spacing w:after="0" w:line="240" w:lineRule="auto"/>
              <w:rPr>
                <w:rFonts w:cs="Calibri"/>
                <w:sz w:val="23"/>
                <w:szCs w:val="23"/>
              </w:rPr>
            </w:pPr>
            <w:r w:rsidRPr="00686ED4">
              <w:rPr>
                <w:rFonts w:cs="Calibri"/>
                <w:sz w:val="23"/>
                <w:szCs w:val="23"/>
              </w:rPr>
              <w:t xml:space="preserve">In the 1950’s Bowlby developed a theory of attachment. He believed that attachment was </w:t>
            </w:r>
            <w:r w:rsidRPr="00686ED4">
              <w:rPr>
                <w:rFonts w:cs="Calibri"/>
                <w:b/>
                <w:sz w:val="23"/>
                <w:szCs w:val="23"/>
              </w:rPr>
              <w:t>instinctive and innate</w:t>
            </w:r>
            <w:r>
              <w:rPr>
                <w:rFonts w:cs="Calibri"/>
                <w:sz w:val="23"/>
                <w:szCs w:val="23"/>
              </w:rPr>
              <w:t>. He also believed in…</w:t>
            </w:r>
          </w:p>
        </w:tc>
      </w:tr>
      <w:tr w:rsidR="00772DC6" w:rsidRPr="00686ED4" w:rsidTr="00772DC6">
        <w:trPr>
          <w:trHeight w:val="131"/>
        </w:trPr>
        <w:tc>
          <w:tcPr>
            <w:tcW w:w="15614" w:type="dxa"/>
            <w:gridSpan w:val="4"/>
            <w:shd w:val="clear" w:color="auto" w:fill="auto"/>
          </w:tcPr>
          <w:p w:rsidR="00772DC6" w:rsidRPr="00686ED4" w:rsidRDefault="00772DC6" w:rsidP="00772DC6">
            <w:pPr>
              <w:spacing w:after="0" w:line="240" w:lineRule="auto"/>
              <w:jc w:val="center"/>
              <w:rPr>
                <w:rFonts w:cs="Calibri"/>
                <w:b/>
                <w:sz w:val="23"/>
                <w:szCs w:val="23"/>
                <w:u w:val="single"/>
              </w:rPr>
            </w:pPr>
            <w:r w:rsidRPr="00686ED4">
              <w:rPr>
                <w:rFonts w:cs="Calibri"/>
                <w:b/>
                <w:sz w:val="23"/>
                <w:szCs w:val="23"/>
                <w:u w:val="single"/>
              </w:rPr>
              <w:t>A01: Describing Bowlby’s Theory</w:t>
            </w:r>
          </w:p>
        </w:tc>
      </w:tr>
      <w:tr w:rsidR="00D47EAA" w:rsidRPr="00686ED4" w:rsidTr="003F0486">
        <w:trPr>
          <w:trHeight w:val="131"/>
        </w:trPr>
        <w:tc>
          <w:tcPr>
            <w:tcW w:w="3903" w:type="dxa"/>
            <w:shd w:val="clear" w:color="auto" w:fill="auto"/>
          </w:tcPr>
          <w:p w:rsidR="00D47EAA" w:rsidRPr="00686ED4" w:rsidRDefault="00D47EAA" w:rsidP="00772DC6">
            <w:pPr>
              <w:spacing w:after="0" w:line="240" w:lineRule="auto"/>
              <w:jc w:val="center"/>
              <w:rPr>
                <w:rFonts w:cs="Calibri"/>
                <w:b/>
                <w:sz w:val="23"/>
                <w:szCs w:val="23"/>
                <w:u w:val="single"/>
              </w:rPr>
            </w:pPr>
            <w:r>
              <w:rPr>
                <w:rFonts w:cs="Calibri"/>
                <w:b/>
                <w:sz w:val="23"/>
                <w:szCs w:val="23"/>
                <w:u w:val="single"/>
              </w:rPr>
              <w:t>MANY</w:t>
            </w:r>
          </w:p>
        </w:tc>
        <w:tc>
          <w:tcPr>
            <w:tcW w:w="3904" w:type="dxa"/>
            <w:shd w:val="clear" w:color="auto" w:fill="auto"/>
          </w:tcPr>
          <w:p w:rsidR="00D47EAA" w:rsidRPr="00686ED4" w:rsidRDefault="00D47EAA" w:rsidP="00772DC6">
            <w:pPr>
              <w:spacing w:after="0" w:line="240" w:lineRule="auto"/>
              <w:jc w:val="center"/>
              <w:rPr>
                <w:rFonts w:cs="Calibri"/>
                <w:b/>
                <w:sz w:val="23"/>
                <w:szCs w:val="23"/>
                <w:u w:val="single"/>
              </w:rPr>
            </w:pPr>
            <w:r>
              <w:rPr>
                <w:rFonts w:cs="Calibri"/>
                <w:b/>
                <w:sz w:val="23"/>
                <w:szCs w:val="23"/>
                <w:u w:val="single"/>
              </w:rPr>
              <w:t>CUSTARD PIES</w:t>
            </w:r>
          </w:p>
        </w:tc>
        <w:tc>
          <w:tcPr>
            <w:tcW w:w="3903" w:type="dxa"/>
            <w:shd w:val="clear" w:color="auto" w:fill="auto"/>
          </w:tcPr>
          <w:p w:rsidR="00D47EAA" w:rsidRPr="00686ED4" w:rsidRDefault="00D47EAA" w:rsidP="00772DC6">
            <w:pPr>
              <w:spacing w:after="0" w:line="240" w:lineRule="auto"/>
              <w:jc w:val="center"/>
              <w:rPr>
                <w:rFonts w:cs="Calibri"/>
                <w:b/>
                <w:sz w:val="23"/>
                <w:szCs w:val="23"/>
                <w:u w:val="single"/>
              </w:rPr>
            </w:pPr>
            <w:r>
              <w:rPr>
                <w:rFonts w:cs="Calibri"/>
                <w:b/>
                <w:sz w:val="23"/>
                <w:szCs w:val="23"/>
                <w:u w:val="single"/>
              </w:rPr>
              <w:t>PEAK</w:t>
            </w:r>
          </w:p>
        </w:tc>
        <w:tc>
          <w:tcPr>
            <w:tcW w:w="3904" w:type="dxa"/>
            <w:shd w:val="clear" w:color="auto" w:fill="auto"/>
          </w:tcPr>
          <w:p w:rsidR="00D47EAA" w:rsidRPr="00686ED4" w:rsidRDefault="00D47EAA" w:rsidP="00772DC6">
            <w:pPr>
              <w:spacing w:after="0" w:line="240" w:lineRule="auto"/>
              <w:jc w:val="center"/>
              <w:rPr>
                <w:rFonts w:cs="Calibri"/>
                <w:b/>
                <w:sz w:val="23"/>
                <w:szCs w:val="23"/>
                <w:u w:val="single"/>
              </w:rPr>
            </w:pPr>
            <w:r>
              <w:rPr>
                <w:rFonts w:cs="Calibri"/>
                <w:b/>
                <w:sz w:val="23"/>
                <w:szCs w:val="23"/>
                <w:u w:val="single"/>
              </w:rPr>
              <w:t>DAILY</w:t>
            </w:r>
          </w:p>
        </w:tc>
      </w:tr>
      <w:tr w:rsidR="00876A07" w:rsidRPr="00686ED4" w:rsidTr="003F0486">
        <w:trPr>
          <w:trHeight w:val="131"/>
        </w:trPr>
        <w:tc>
          <w:tcPr>
            <w:tcW w:w="3903" w:type="dxa"/>
            <w:shd w:val="clear" w:color="auto" w:fill="auto"/>
          </w:tcPr>
          <w:p w:rsidR="00876A07" w:rsidRPr="00686ED4" w:rsidRDefault="00876A07" w:rsidP="00772DC6">
            <w:pPr>
              <w:spacing w:after="0" w:line="240" w:lineRule="auto"/>
              <w:jc w:val="center"/>
              <w:rPr>
                <w:rFonts w:cs="Calibri"/>
                <w:b/>
                <w:sz w:val="23"/>
                <w:szCs w:val="23"/>
                <w:u w:val="single"/>
              </w:rPr>
            </w:pPr>
            <w:r>
              <w:rPr>
                <w:rFonts w:cs="Calibri"/>
                <w:b/>
                <w:sz w:val="23"/>
                <w:szCs w:val="23"/>
                <w:u w:val="single"/>
              </w:rPr>
              <w:t>MONOTROPHY</w:t>
            </w:r>
          </w:p>
        </w:tc>
        <w:tc>
          <w:tcPr>
            <w:tcW w:w="3904" w:type="dxa"/>
            <w:shd w:val="clear" w:color="auto" w:fill="auto"/>
          </w:tcPr>
          <w:p w:rsidR="00876A07" w:rsidRPr="00686ED4" w:rsidRDefault="00876A07" w:rsidP="00772DC6">
            <w:pPr>
              <w:spacing w:after="0" w:line="240" w:lineRule="auto"/>
              <w:jc w:val="center"/>
              <w:rPr>
                <w:rFonts w:cs="Calibri"/>
                <w:b/>
                <w:sz w:val="23"/>
                <w:szCs w:val="23"/>
                <w:u w:val="single"/>
              </w:rPr>
            </w:pPr>
            <w:r>
              <w:rPr>
                <w:rFonts w:cs="Calibri"/>
                <w:b/>
                <w:sz w:val="23"/>
                <w:szCs w:val="23"/>
                <w:u w:val="single"/>
              </w:rPr>
              <w:t>CRITICAL PERIOD</w:t>
            </w:r>
          </w:p>
        </w:tc>
        <w:tc>
          <w:tcPr>
            <w:tcW w:w="3903" w:type="dxa"/>
            <w:shd w:val="clear" w:color="auto" w:fill="auto"/>
          </w:tcPr>
          <w:p w:rsidR="00876A07" w:rsidRPr="00686ED4" w:rsidRDefault="00876A07" w:rsidP="00772DC6">
            <w:pPr>
              <w:spacing w:after="0" w:line="240" w:lineRule="auto"/>
              <w:jc w:val="center"/>
              <w:rPr>
                <w:rFonts w:cs="Calibri"/>
                <w:b/>
                <w:sz w:val="23"/>
                <w:szCs w:val="23"/>
                <w:u w:val="single"/>
              </w:rPr>
            </w:pPr>
            <w:r>
              <w:rPr>
                <w:rFonts w:cs="Calibri"/>
                <w:b/>
                <w:sz w:val="23"/>
                <w:szCs w:val="23"/>
                <w:u w:val="single"/>
              </w:rPr>
              <w:t>PRIVATION</w:t>
            </w:r>
          </w:p>
        </w:tc>
        <w:tc>
          <w:tcPr>
            <w:tcW w:w="3904" w:type="dxa"/>
            <w:shd w:val="clear" w:color="auto" w:fill="auto"/>
          </w:tcPr>
          <w:p w:rsidR="00876A07" w:rsidRPr="00686ED4" w:rsidRDefault="00D47EAA" w:rsidP="00772DC6">
            <w:pPr>
              <w:spacing w:after="0" w:line="240" w:lineRule="auto"/>
              <w:jc w:val="center"/>
              <w:rPr>
                <w:rFonts w:cs="Calibri"/>
                <w:b/>
                <w:sz w:val="23"/>
                <w:szCs w:val="23"/>
                <w:u w:val="single"/>
              </w:rPr>
            </w:pPr>
            <w:r>
              <w:rPr>
                <w:rFonts w:cs="Calibri"/>
                <w:b/>
                <w:sz w:val="23"/>
                <w:szCs w:val="23"/>
                <w:u w:val="single"/>
              </w:rPr>
              <w:t>DEPRIVATION</w:t>
            </w:r>
          </w:p>
        </w:tc>
      </w:tr>
      <w:tr w:rsidR="00876A07" w:rsidRPr="00686ED4" w:rsidTr="003F0486">
        <w:trPr>
          <w:trHeight w:val="131"/>
        </w:trPr>
        <w:tc>
          <w:tcPr>
            <w:tcW w:w="3903" w:type="dxa"/>
            <w:shd w:val="clear" w:color="auto" w:fill="auto"/>
          </w:tcPr>
          <w:p w:rsidR="00876A07" w:rsidRPr="00686ED4" w:rsidRDefault="00876A07" w:rsidP="00876A07">
            <w:pPr>
              <w:spacing w:after="0" w:line="240" w:lineRule="auto"/>
              <w:rPr>
                <w:rFonts w:cs="Calibri"/>
                <w:sz w:val="23"/>
                <w:szCs w:val="23"/>
              </w:rPr>
            </w:pPr>
            <w:r w:rsidRPr="00686ED4">
              <w:rPr>
                <w:rFonts w:cs="Calibri"/>
                <w:b/>
                <w:sz w:val="23"/>
                <w:szCs w:val="23"/>
              </w:rPr>
              <w:t>Monotropy:</w:t>
            </w:r>
            <w:r w:rsidRPr="00686ED4">
              <w:rPr>
                <w:rFonts w:cs="Calibri"/>
                <w:sz w:val="23"/>
                <w:szCs w:val="23"/>
              </w:rPr>
              <w:t xml:space="preserve"> An attachment to one primary caregiver. He stated that infants attach themselves to one person that cares for them the most.</w:t>
            </w:r>
            <w:r>
              <w:rPr>
                <w:rFonts w:cs="Calibri"/>
                <w:sz w:val="23"/>
                <w:szCs w:val="23"/>
              </w:rPr>
              <w:t xml:space="preserve"> </w:t>
            </w:r>
          </w:p>
          <w:p w:rsidR="00876A07" w:rsidRDefault="00876A07" w:rsidP="00772DC6">
            <w:pPr>
              <w:spacing w:after="0" w:line="240" w:lineRule="auto"/>
              <w:jc w:val="center"/>
              <w:rPr>
                <w:rFonts w:cs="Calibri"/>
                <w:b/>
                <w:sz w:val="23"/>
                <w:szCs w:val="23"/>
                <w:u w:val="single"/>
              </w:rPr>
            </w:pPr>
          </w:p>
        </w:tc>
        <w:tc>
          <w:tcPr>
            <w:tcW w:w="3904" w:type="dxa"/>
            <w:shd w:val="clear" w:color="auto" w:fill="auto"/>
          </w:tcPr>
          <w:p w:rsidR="00876A07" w:rsidRPr="00686ED4" w:rsidRDefault="00876A07" w:rsidP="00876A07">
            <w:pPr>
              <w:spacing w:after="0" w:line="240" w:lineRule="auto"/>
              <w:rPr>
                <w:rFonts w:cs="Calibri"/>
                <w:b/>
                <w:sz w:val="23"/>
                <w:szCs w:val="23"/>
                <w:u w:val="single"/>
              </w:rPr>
            </w:pPr>
            <w:r w:rsidRPr="00686ED4">
              <w:rPr>
                <w:rFonts w:cs="Calibri"/>
                <w:b/>
                <w:sz w:val="23"/>
                <w:szCs w:val="23"/>
              </w:rPr>
              <w:t>Critical Period</w:t>
            </w:r>
            <w:r w:rsidRPr="00686ED4">
              <w:rPr>
                <w:rFonts w:cs="Calibri"/>
                <w:sz w:val="23"/>
                <w:szCs w:val="23"/>
              </w:rPr>
              <w:t xml:space="preserve">: He believed that the attachment also had to happen in the first 3 years of the infants’ life, but most preferably in the first year. The critical period is critical in the sense that if children did not form an attachment in that time, they would suffer negative psychological effects, especially in adulthood. </w:t>
            </w:r>
          </w:p>
        </w:tc>
        <w:tc>
          <w:tcPr>
            <w:tcW w:w="3903" w:type="dxa"/>
            <w:shd w:val="clear" w:color="auto" w:fill="auto"/>
          </w:tcPr>
          <w:p w:rsidR="00876A07" w:rsidRPr="00686ED4" w:rsidRDefault="00876A07" w:rsidP="00876A07">
            <w:pPr>
              <w:spacing w:after="0" w:line="240" w:lineRule="auto"/>
              <w:rPr>
                <w:rFonts w:cs="Calibri"/>
                <w:sz w:val="23"/>
                <w:szCs w:val="23"/>
              </w:rPr>
            </w:pPr>
            <w:r w:rsidRPr="00686ED4">
              <w:rPr>
                <w:rFonts w:cs="Calibri"/>
                <w:b/>
                <w:sz w:val="23"/>
                <w:szCs w:val="23"/>
              </w:rPr>
              <w:t>Privation</w:t>
            </w:r>
            <w:r w:rsidRPr="00686ED4">
              <w:rPr>
                <w:rFonts w:cs="Calibri"/>
                <w:sz w:val="23"/>
                <w:szCs w:val="23"/>
              </w:rPr>
              <w:t xml:space="preserve"> would occur if a child did not form any attachment with a primary caregiver. For example, if a child is placed in a childrens’ home or in many foster homes they may not have the opportunity to form an attachment with one person. Or a child who suffers from extreme neglect from their parents with no love or care may also suffer the effects of privation. The effects of privation can be extreme e.g. poor social skills, language skills and motor skills. These effects can last into adulthood. </w:t>
            </w:r>
          </w:p>
          <w:p w:rsidR="00876A07" w:rsidRPr="00686ED4" w:rsidRDefault="00876A07" w:rsidP="00772DC6">
            <w:pPr>
              <w:spacing w:after="0" w:line="240" w:lineRule="auto"/>
              <w:jc w:val="center"/>
              <w:rPr>
                <w:rFonts w:cs="Calibri"/>
                <w:b/>
                <w:sz w:val="23"/>
                <w:szCs w:val="23"/>
                <w:u w:val="single"/>
              </w:rPr>
            </w:pPr>
          </w:p>
        </w:tc>
        <w:tc>
          <w:tcPr>
            <w:tcW w:w="3904" w:type="dxa"/>
            <w:shd w:val="clear" w:color="auto" w:fill="auto"/>
          </w:tcPr>
          <w:p w:rsidR="00876A07" w:rsidRPr="00686ED4" w:rsidRDefault="00D47EAA" w:rsidP="00D47EAA">
            <w:pPr>
              <w:spacing w:after="0" w:line="240" w:lineRule="auto"/>
              <w:rPr>
                <w:rFonts w:cs="Calibri"/>
                <w:b/>
                <w:sz w:val="23"/>
                <w:szCs w:val="23"/>
                <w:u w:val="single"/>
              </w:rPr>
            </w:pPr>
            <w:r w:rsidRPr="00686ED4">
              <w:rPr>
                <w:rFonts w:cs="Calibri"/>
                <w:b/>
                <w:sz w:val="23"/>
                <w:szCs w:val="23"/>
              </w:rPr>
              <w:t xml:space="preserve">Deprivation: When a child has formed an attachment to a primary caregiver, but then it is broken. </w:t>
            </w:r>
            <w:r w:rsidRPr="00686ED4">
              <w:rPr>
                <w:rFonts w:cs="Calibri"/>
                <w:sz w:val="23"/>
                <w:szCs w:val="23"/>
              </w:rPr>
              <w:t>Bowlby argued that children experience deprivation if they are separated from the caregiver for a week or longer in the first 5 years of life. For example, mother/father leaves home, parents dying, spending time in hospital.</w:t>
            </w:r>
          </w:p>
        </w:tc>
      </w:tr>
      <w:tr w:rsidR="00D47EAA" w:rsidRPr="00686ED4" w:rsidTr="003F0486">
        <w:trPr>
          <w:trHeight w:val="131"/>
        </w:trPr>
        <w:tc>
          <w:tcPr>
            <w:tcW w:w="3903" w:type="dxa"/>
            <w:shd w:val="clear" w:color="auto" w:fill="auto"/>
          </w:tcPr>
          <w:p w:rsidR="00D47EAA" w:rsidRPr="00686ED4" w:rsidRDefault="00E73D76" w:rsidP="00D47EAA">
            <w:pPr>
              <w:spacing w:after="0" w:line="240" w:lineRule="auto"/>
              <w:rPr>
                <w:rFonts w:cs="Calibri"/>
                <w:sz w:val="23"/>
                <w:szCs w:val="23"/>
              </w:rPr>
            </w:pPr>
            <w:r>
              <w:rPr>
                <w:noProof/>
              </w:rPr>
              <w:drawing>
                <wp:anchor distT="0" distB="0" distL="114300" distR="114300" simplePos="0" relativeHeight="251656192" behindDoc="1" locked="0" layoutInCell="1" allowOverlap="1">
                  <wp:simplePos x="0" y="0"/>
                  <wp:positionH relativeFrom="column">
                    <wp:posOffset>-45720</wp:posOffset>
                  </wp:positionH>
                  <wp:positionV relativeFrom="paragraph">
                    <wp:posOffset>79375</wp:posOffset>
                  </wp:positionV>
                  <wp:extent cx="2411095" cy="1600200"/>
                  <wp:effectExtent l="0" t="0" r="0" b="0"/>
                  <wp:wrapTight wrapText="bothSides">
                    <wp:wrapPolygon edited="0">
                      <wp:start x="0" y="0"/>
                      <wp:lineTo x="0" y="21343"/>
                      <wp:lineTo x="21503" y="21343"/>
                      <wp:lineTo x="21503" y="0"/>
                      <wp:lineTo x="0" y="0"/>
                    </wp:wrapPolygon>
                  </wp:wrapTight>
                  <wp:docPr id="2" name="Picture 2" descr="http://t3.gstatic.com/images?q=tbn:ANd9GcSKOhLqcI64PhFw8quCumPiJq04_ElZiWT0YRhO7WVIzYo_Dr0ODWfvxyWZ:babyandtoddlershow.co.uk/wp-content/uploads/2014/02/baby-and-moth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SKOhLqcI64PhFw8quCumPiJq04_ElZiWT0YRhO7WVIzYo_Dr0ODWfvxyWZ:babyandtoddlershow.co.uk/wp-content/uploads/2014/02/baby-and-mother1.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110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04" w:type="dxa"/>
            <w:shd w:val="clear" w:color="auto" w:fill="auto"/>
          </w:tcPr>
          <w:p w:rsidR="00D47EAA" w:rsidRPr="00686ED4" w:rsidRDefault="00E73D76" w:rsidP="00D47EAA">
            <w:pPr>
              <w:spacing w:after="0" w:line="240" w:lineRule="auto"/>
              <w:rPr>
                <w:rFonts w:cs="Calibri"/>
                <w:sz w:val="23"/>
                <w:szCs w:val="23"/>
              </w:rPr>
            </w:pPr>
            <w:r>
              <w:rPr>
                <w:noProof/>
              </w:rPr>
              <w:drawing>
                <wp:anchor distT="0" distB="0" distL="114300" distR="114300" simplePos="0" relativeHeight="251657216" behindDoc="1" locked="0" layoutInCell="1" allowOverlap="1">
                  <wp:simplePos x="0" y="0"/>
                  <wp:positionH relativeFrom="column">
                    <wp:posOffset>296545</wp:posOffset>
                  </wp:positionH>
                  <wp:positionV relativeFrom="paragraph">
                    <wp:posOffset>79375</wp:posOffset>
                  </wp:positionV>
                  <wp:extent cx="1739900" cy="1739900"/>
                  <wp:effectExtent l="0" t="0" r="0" b="0"/>
                  <wp:wrapTight wrapText="bothSides">
                    <wp:wrapPolygon edited="0">
                      <wp:start x="0" y="0"/>
                      <wp:lineTo x="0" y="21285"/>
                      <wp:lineTo x="21285" y="21285"/>
                      <wp:lineTo x="21285" y="0"/>
                      <wp:lineTo x="0" y="0"/>
                    </wp:wrapPolygon>
                  </wp:wrapTight>
                  <wp:docPr id="3" name="Picture 3" descr="http://t2.gstatic.com/images?q=tbn:ANd9GcSIoySNsVlUF2rZhisFAp5Ts4-oRVsYPyHPffOYzsrW9n1g_uaQYg3IOgXMEg:www.howkapow.com/media/catalog/product/cache/1/image/1500x1500/9df78eab33525d08d6e5fb8d27136e95/t/e/telectric-clock-eggshell-blue-newg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gstatic.com/images?q=tbn:ANd9GcSIoySNsVlUF2rZhisFAp5Ts4-oRVsYPyHPffOYzsrW9n1g_uaQYg3IOgXMEg:www.howkapow.com/media/catalog/product/cache/1/image/1500x1500/9df78eab33525d08d6e5fb8d27136e95/t/e/telectric-clock-eggshell-blue-newgate.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39900" cy="1739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03" w:type="dxa"/>
            <w:shd w:val="clear" w:color="auto" w:fill="auto"/>
          </w:tcPr>
          <w:p w:rsidR="00D47EAA" w:rsidRPr="00686ED4" w:rsidRDefault="00E73D76" w:rsidP="00D47EAA">
            <w:pPr>
              <w:spacing w:after="0" w:line="240" w:lineRule="auto"/>
              <w:rPr>
                <w:rFonts w:cs="Calibri"/>
                <w:sz w:val="23"/>
                <w:szCs w:val="23"/>
              </w:rPr>
            </w:pPr>
            <w:r>
              <w:rPr>
                <w:noProof/>
              </w:rPr>
              <w:drawing>
                <wp:anchor distT="0" distB="0" distL="114300" distR="114300" simplePos="0" relativeHeight="251658240" behindDoc="1" locked="0" layoutInCell="1" allowOverlap="1">
                  <wp:simplePos x="0" y="0"/>
                  <wp:positionH relativeFrom="column">
                    <wp:posOffset>127000</wp:posOffset>
                  </wp:positionH>
                  <wp:positionV relativeFrom="paragraph">
                    <wp:posOffset>244475</wp:posOffset>
                  </wp:positionV>
                  <wp:extent cx="2131695" cy="1435100"/>
                  <wp:effectExtent l="0" t="0" r="0" b="0"/>
                  <wp:wrapTight wrapText="bothSides">
                    <wp:wrapPolygon edited="0">
                      <wp:start x="0" y="0"/>
                      <wp:lineTo x="0" y="21218"/>
                      <wp:lineTo x="21426" y="21218"/>
                      <wp:lineTo x="21426" y="0"/>
                      <wp:lineTo x="0" y="0"/>
                    </wp:wrapPolygon>
                  </wp:wrapTight>
                  <wp:docPr id="4" name="Picture 4" descr="http://t3.gstatic.com/images?q=tbn:ANd9GcSHq-3pkOJ2WapVTfKDu25vt75DQoY7yOawopctSlJVQXF_jLXbnmziFlGA:karneslegalservices.info/wp-content/uploads/2011/07/neglec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SHq-3pkOJ2WapVTfKDu25vt75DQoY7yOawopctSlJVQXF_jLXbnmziFlGA:karneslegalservices.info/wp-content/uploads/2011/07/neglected.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31695" cy="1435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04" w:type="dxa"/>
            <w:shd w:val="clear" w:color="auto" w:fill="auto"/>
          </w:tcPr>
          <w:p w:rsidR="00D47EAA" w:rsidRPr="00686ED4" w:rsidRDefault="00E73D76" w:rsidP="00D47EAA">
            <w:pPr>
              <w:spacing w:after="0" w:line="240" w:lineRule="auto"/>
              <w:rPr>
                <w:rFonts w:cs="Calibri"/>
                <w:sz w:val="23"/>
                <w:szCs w:val="23"/>
              </w:rPr>
            </w:pPr>
            <w:r>
              <w:rPr>
                <w:noProof/>
              </w:rPr>
              <w:drawing>
                <wp:anchor distT="0" distB="0" distL="114300" distR="114300" simplePos="0" relativeHeight="251659264" behindDoc="1" locked="0" layoutInCell="1" allowOverlap="1">
                  <wp:simplePos x="0" y="0"/>
                  <wp:positionH relativeFrom="column">
                    <wp:posOffset>299720</wp:posOffset>
                  </wp:positionH>
                  <wp:positionV relativeFrom="paragraph">
                    <wp:posOffset>79375</wp:posOffset>
                  </wp:positionV>
                  <wp:extent cx="1732915" cy="1732915"/>
                  <wp:effectExtent l="0" t="0" r="0" b="0"/>
                  <wp:wrapTight wrapText="bothSides">
                    <wp:wrapPolygon edited="0">
                      <wp:start x="0" y="0"/>
                      <wp:lineTo x="0" y="21370"/>
                      <wp:lineTo x="21370" y="21370"/>
                      <wp:lineTo x="21370" y="0"/>
                      <wp:lineTo x="0" y="0"/>
                    </wp:wrapPolygon>
                  </wp:wrapTight>
                  <wp:docPr id="5" name="Picture 5" descr="http://t1.gstatic.com/images?q=tbn:ANd9GcRPo70hQOMACJoGJzgDPaznOPbwX8gaKTGOAoq139wQav1qXSfK3vvsm7lW3g:www.dennisbeevers.co.uk/wp-content/uploads/2011/10/Funeral-In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1.gstatic.com/images?q=tbn:ANd9GcRPo70hQOMACJoGJzgDPaznOPbwX8gaKTGOAoq139wQav1qXSfK3vvsm7lW3g:www.dennisbeevers.co.uk/wp-content/uploads/2011/10/Funeral-Inset.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32915" cy="17329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A7862" w:rsidRDefault="002A7862"/>
    <w:sectPr w:rsidR="002A7862" w:rsidSect="00D656D5">
      <w:pgSz w:w="16838" w:h="11906" w:orient="landscape"/>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C3453"/>
    <w:multiLevelType w:val="hybridMultilevel"/>
    <w:tmpl w:val="D7F45AB8"/>
    <w:lvl w:ilvl="0" w:tplc="8258D1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556AE9"/>
    <w:multiLevelType w:val="hybridMultilevel"/>
    <w:tmpl w:val="7D9C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81E66"/>
    <w:multiLevelType w:val="hybridMultilevel"/>
    <w:tmpl w:val="AE9E5F02"/>
    <w:lvl w:ilvl="0" w:tplc="08090011">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3" w15:restartNumberingAfterBreak="0">
    <w:nsid w:val="224D1F35"/>
    <w:multiLevelType w:val="hybridMultilevel"/>
    <w:tmpl w:val="F81A8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B1387"/>
    <w:multiLevelType w:val="hybridMultilevel"/>
    <w:tmpl w:val="1670067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39531A"/>
    <w:multiLevelType w:val="hybridMultilevel"/>
    <w:tmpl w:val="91C6D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586C54"/>
    <w:multiLevelType w:val="hybridMultilevel"/>
    <w:tmpl w:val="4B1A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67DA8"/>
    <w:multiLevelType w:val="hybridMultilevel"/>
    <w:tmpl w:val="841A7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625512"/>
    <w:multiLevelType w:val="hybridMultilevel"/>
    <w:tmpl w:val="F9F25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484CB9"/>
    <w:multiLevelType w:val="hybridMultilevel"/>
    <w:tmpl w:val="4F78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2D5507"/>
    <w:multiLevelType w:val="hybridMultilevel"/>
    <w:tmpl w:val="7F36B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3"/>
  </w:num>
  <w:num w:numId="4">
    <w:abstractNumId w:val="5"/>
  </w:num>
  <w:num w:numId="5">
    <w:abstractNumId w:val="8"/>
  </w:num>
  <w:num w:numId="6">
    <w:abstractNumId w:val="0"/>
  </w:num>
  <w:num w:numId="7">
    <w:abstractNumId w:val="7"/>
  </w:num>
  <w:num w:numId="8">
    <w:abstractNumId w:val="1"/>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8F"/>
    <w:rsid w:val="00017690"/>
    <w:rsid w:val="0008770B"/>
    <w:rsid w:val="00154368"/>
    <w:rsid w:val="00187583"/>
    <w:rsid w:val="001E4AFF"/>
    <w:rsid w:val="00246513"/>
    <w:rsid w:val="002A7862"/>
    <w:rsid w:val="00326343"/>
    <w:rsid w:val="003505A0"/>
    <w:rsid w:val="003658BA"/>
    <w:rsid w:val="003A285D"/>
    <w:rsid w:val="003F0486"/>
    <w:rsid w:val="00403C9B"/>
    <w:rsid w:val="00405255"/>
    <w:rsid w:val="00432FBC"/>
    <w:rsid w:val="00471E21"/>
    <w:rsid w:val="005008CF"/>
    <w:rsid w:val="005611B2"/>
    <w:rsid w:val="005F5D67"/>
    <w:rsid w:val="006862CD"/>
    <w:rsid w:val="00686ED4"/>
    <w:rsid w:val="006A167B"/>
    <w:rsid w:val="006A34FC"/>
    <w:rsid w:val="006C2D6B"/>
    <w:rsid w:val="006C440B"/>
    <w:rsid w:val="00772DC6"/>
    <w:rsid w:val="007C0BC6"/>
    <w:rsid w:val="0080572A"/>
    <w:rsid w:val="0086730B"/>
    <w:rsid w:val="00876A07"/>
    <w:rsid w:val="008B6CB1"/>
    <w:rsid w:val="00932657"/>
    <w:rsid w:val="00962E06"/>
    <w:rsid w:val="00A05CF1"/>
    <w:rsid w:val="00A72C15"/>
    <w:rsid w:val="00B26703"/>
    <w:rsid w:val="00B60589"/>
    <w:rsid w:val="00B73261"/>
    <w:rsid w:val="00C17068"/>
    <w:rsid w:val="00C62B8F"/>
    <w:rsid w:val="00CA07E1"/>
    <w:rsid w:val="00D07E87"/>
    <w:rsid w:val="00D43969"/>
    <w:rsid w:val="00D47EAA"/>
    <w:rsid w:val="00D656D5"/>
    <w:rsid w:val="00D6774D"/>
    <w:rsid w:val="00E470E7"/>
    <w:rsid w:val="00E73D76"/>
    <w:rsid w:val="00F23EDC"/>
    <w:rsid w:val="00FF3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D67E0-79BA-4B1D-8809-748BB308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2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62B8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t2.gstatic.com/images?q=tbn:ANd9GcSIoySNsVlUF2rZhisFAp5Ts4-oRVsYPyHPffOYzsrW9n1g_uaQYg3IOgXMEg:www.howkapow.com/media/catalog/product/cache/1/image/1500x1500/9df78eab33525d08d6e5fb8d27136e95/t/e/telectric-clock-eggshell-blue-newgate.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http://t1.gstatic.com/images?q=tbn:ANd9GcRPo70hQOMACJoGJzgDPaznOPbwX8gaKTGOAoq139wQav1qXSfK3vvsm7lW3g:www.dennisbeevers.co.uk/wp-content/uploads/2011/10/Funeral-Inset.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t3.gstatic.com/images?q=tbn:ANd9GcSKOhLqcI64PhFw8quCumPiJq04_ElZiWT0YRhO7WVIzYo_Dr0ODWfvxyWZ:babyandtoddlershow.co.uk/wp-content/uploads/2014/02/baby-and-mother1.pn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http://t3.gstatic.com/images?q=tbn:ANd9GcSHq-3pkOJ2WapVTfKDu25vt75DQoY7yOawopctSlJVQXF_jLXbnmziFlGA:karneslegalservices.info/wp-content/uploads/2011/07/neglected.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Sex and Gender</vt:lpstr>
    </vt:vector>
  </TitlesOfParts>
  <Company>Waseley Hills High School</Company>
  <LinksUpToDate>false</LinksUpToDate>
  <CharactersWithSpaces>1596</CharactersWithSpaces>
  <SharedDoc>false</SharedDoc>
  <HLinks>
    <vt:vector size="24" baseType="variant">
      <vt:variant>
        <vt:i4>7602300</vt:i4>
      </vt:variant>
      <vt:variant>
        <vt:i4>-1</vt:i4>
      </vt:variant>
      <vt:variant>
        <vt:i4>1026</vt:i4>
      </vt:variant>
      <vt:variant>
        <vt:i4>1</vt:i4>
      </vt:variant>
      <vt:variant>
        <vt:lpwstr>http://t3.gstatic.com/images?q=tbn:ANd9GcSKOhLqcI64PhFw8quCumPiJq04_ElZiWT0YRhO7WVIzYo_Dr0ODWfvxyWZ:babyandtoddlershow.co.uk/wp-content/uploads/2014/02/baby-and-mother1.png</vt:lpwstr>
      </vt:variant>
      <vt:variant>
        <vt:lpwstr/>
      </vt:variant>
      <vt:variant>
        <vt:i4>5374068</vt:i4>
      </vt:variant>
      <vt:variant>
        <vt:i4>-1</vt:i4>
      </vt:variant>
      <vt:variant>
        <vt:i4>1027</vt:i4>
      </vt:variant>
      <vt:variant>
        <vt:i4>1</vt:i4>
      </vt:variant>
      <vt:variant>
        <vt:lpwstr>http://t2.gstatic.com/images?q=tbn:ANd9GcSIoySNsVlUF2rZhisFAp5Ts4-oRVsYPyHPffOYzsrW9n1g_uaQYg3IOgXMEg:www.howkapow.com/media/catalog/product/cache/1/image/1500x1500/9df78eab33525d08d6e5fb8d27136e95/t/e/telectric-clock-eggshell-blue-newgate.jpg</vt:lpwstr>
      </vt:variant>
      <vt:variant>
        <vt:lpwstr/>
      </vt:variant>
      <vt:variant>
        <vt:i4>5439605</vt:i4>
      </vt:variant>
      <vt:variant>
        <vt:i4>-1</vt:i4>
      </vt:variant>
      <vt:variant>
        <vt:i4>1028</vt:i4>
      </vt:variant>
      <vt:variant>
        <vt:i4>1</vt:i4>
      </vt:variant>
      <vt:variant>
        <vt:lpwstr>http://t3.gstatic.com/images?q=tbn:ANd9GcSHq-3pkOJ2WapVTfKDu25vt75DQoY7yOawopctSlJVQXF_jLXbnmziFlGA:karneslegalservices.info/wp-content/uploads/2011/07/neglected.jpg</vt:lpwstr>
      </vt:variant>
      <vt:variant>
        <vt:lpwstr/>
      </vt:variant>
      <vt:variant>
        <vt:i4>3276916</vt:i4>
      </vt:variant>
      <vt:variant>
        <vt:i4>-1</vt:i4>
      </vt:variant>
      <vt:variant>
        <vt:i4>1029</vt:i4>
      </vt:variant>
      <vt:variant>
        <vt:i4>1</vt:i4>
      </vt:variant>
      <vt:variant>
        <vt:lpwstr>http://t1.gstatic.com/images?q=tbn:ANd9GcRPo70hQOMACJoGJzgDPaznOPbwX8gaKTGOAoq139wQav1qXSfK3vvsm7lW3g:www.dennisbeevers.co.uk/wp-content/uploads/2011/10/Funeral-Inset.jpg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 and Gender</dc:title>
  <dc:subject/>
  <dc:creator>YEADON, M</dc:creator>
  <cp:keywords/>
  <cp:lastModifiedBy>Chris</cp:lastModifiedBy>
  <cp:revision>2</cp:revision>
  <dcterms:created xsi:type="dcterms:W3CDTF">2018-01-14T14:10:00Z</dcterms:created>
  <dcterms:modified xsi:type="dcterms:W3CDTF">2018-01-14T14:10:00Z</dcterms:modified>
</cp:coreProperties>
</file>