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367"/>
        <w:gridCol w:w="4618"/>
        <w:gridCol w:w="4387"/>
      </w:tblGrid>
      <w:tr w:rsidR="00373C15" w:rsidTr="00BA4D3B">
        <w:tc>
          <w:tcPr>
            <w:tcW w:w="1242" w:type="dxa"/>
            <w:gridSpan w:val="3"/>
          </w:tcPr>
          <w:p w:rsidR="00373C15" w:rsidRPr="008A2887" w:rsidRDefault="00373C15" w:rsidP="00373C15">
            <w:pPr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Grade</w:t>
            </w:r>
          </w:p>
        </w:tc>
        <w:tc>
          <w:tcPr>
            <w:tcW w:w="14372" w:type="dxa"/>
            <w:gridSpan w:val="3"/>
          </w:tcPr>
          <w:p w:rsidR="00373C15" w:rsidRPr="008A2887" w:rsidRDefault="00340C1B" w:rsidP="008A2887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Criticisms of Bowlby’s Theory</w:t>
            </w:r>
          </w:p>
        </w:tc>
      </w:tr>
      <w:tr w:rsidR="005738E9" w:rsidTr="00BA4D3B">
        <w:tc>
          <w:tcPr>
            <w:tcW w:w="392" w:type="dxa"/>
            <w:vMerge w:val="restart"/>
            <w:textDirection w:val="btLr"/>
          </w:tcPr>
          <w:p w:rsidR="00373C15" w:rsidRPr="008A2887" w:rsidRDefault="00373C15" w:rsidP="00373C15">
            <w:pPr>
              <w:ind w:left="113" w:right="113"/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E GRADE ANSWER</w:t>
            </w:r>
          </w:p>
        </w:tc>
        <w:tc>
          <w:tcPr>
            <w:tcW w:w="425" w:type="dxa"/>
            <w:vMerge w:val="restart"/>
            <w:textDirection w:val="btLr"/>
          </w:tcPr>
          <w:p w:rsidR="00373C15" w:rsidRPr="008A2887" w:rsidRDefault="00373C15" w:rsidP="00AC2CFC">
            <w:pPr>
              <w:ind w:right="113"/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C GRADE ANSWER</w:t>
            </w:r>
          </w:p>
        </w:tc>
        <w:tc>
          <w:tcPr>
            <w:tcW w:w="425" w:type="dxa"/>
            <w:vMerge w:val="restart"/>
            <w:textDirection w:val="btLr"/>
          </w:tcPr>
          <w:p w:rsidR="00373C15" w:rsidRPr="008A2887" w:rsidRDefault="00373C15" w:rsidP="00373C15">
            <w:pPr>
              <w:ind w:left="113" w:right="113"/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A GRADE ANSWER</w:t>
            </w:r>
          </w:p>
        </w:tc>
        <w:tc>
          <w:tcPr>
            <w:tcW w:w="5367" w:type="dxa"/>
          </w:tcPr>
          <w:p w:rsidR="00373C15" w:rsidRPr="008A2887" w:rsidRDefault="0051716B" w:rsidP="005738E9">
            <w:pPr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Must Know</w:t>
            </w:r>
          </w:p>
        </w:tc>
        <w:tc>
          <w:tcPr>
            <w:tcW w:w="4618" w:type="dxa"/>
          </w:tcPr>
          <w:p w:rsidR="00373C15" w:rsidRPr="008A2887" w:rsidRDefault="0051716B" w:rsidP="005738E9">
            <w:pPr>
              <w:jc w:val="center"/>
              <w:rPr>
                <w:sz w:val="28"/>
              </w:rPr>
            </w:pPr>
            <w:r w:rsidRPr="008A2887">
              <w:rPr>
                <w:b/>
                <w:sz w:val="28"/>
              </w:rPr>
              <w:t>Must Know</w:t>
            </w:r>
          </w:p>
        </w:tc>
        <w:tc>
          <w:tcPr>
            <w:tcW w:w="4387" w:type="dxa"/>
          </w:tcPr>
          <w:p w:rsidR="00373C15" w:rsidRPr="008A2887" w:rsidRDefault="0051716B" w:rsidP="005738E9">
            <w:pPr>
              <w:jc w:val="center"/>
              <w:rPr>
                <w:b/>
                <w:sz w:val="28"/>
              </w:rPr>
            </w:pPr>
            <w:r w:rsidRPr="008A2887">
              <w:rPr>
                <w:b/>
                <w:sz w:val="28"/>
              </w:rPr>
              <w:t>Could Know</w:t>
            </w:r>
          </w:p>
        </w:tc>
      </w:tr>
      <w:tr w:rsidR="008A2887" w:rsidTr="00BA4D3B">
        <w:tc>
          <w:tcPr>
            <w:tcW w:w="392" w:type="dxa"/>
            <w:vMerge/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367" w:type="dxa"/>
          </w:tcPr>
          <w:p w:rsidR="008A2887" w:rsidRPr="008A2887" w:rsidRDefault="00486E9A" w:rsidP="0048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Evidence against </w:t>
            </w:r>
            <w:proofErr w:type="spellStart"/>
            <w:r w:rsidR="00340C1B">
              <w:rPr>
                <w:b/>
                <w:sz w:val="28"/>
              </w:rPr>
              <w:t>Monotrophy</w:t>
            </w:r>
            <w:proofErr w:type="spellEnd"/>
          </w:p>
        </w:tc>
        <w:tc>
          <w:tcPr>
            <w:tcW w:w="4618" w:type="dxa"/>
          </w:tcPr>
          <w:p w:rsidR="008A2887" w:rsidRPr="008A2887" w:rsidRDefault="00340C1B" w:rsidP="005738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Evidence Against Critical Period</w:t>
            </w:r>
          </w:p>
        </w:tc>
        <w:tc>
          <w:tcPr>
            <w:tcW w:w="4387" w:type="dxa"/>
          </w:tcPr>
          <w:p w:rsidR="008A2887" w:rsidRPr="008A2887" w:rsidRDefault="00340C1B" w:rsidP="005738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Privation is Reversible</w:t>
            </w:r>
          </w:p>
        </w:tc>
      </w:tr>
      <w:tr w:rsidR="008A2887" w:rsidTr="00AC2CFC"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8A2887" w:rsidRPr="008A2887" w:rsidRDefault="008A2887" w:rsidP="00373C1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367" w:type="dxa"/>
          </w:tcPr>
          <w:p w:rsidR="00340C1B" w:rsidRPr="00340C1B" w:rsidRDefault="00340C1B" w:rsidP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P: One issue with Bowlby’s theory is that he believed in monotropy.</w:t>
            </w:r>
          </w:p>
          <w:p w:rsidR="008A2887" w:rsidRPr="00340C1B" w:rsidRDefault="008A2887" w:rsidP="00340C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8" w:type="dxa"/>
          </w:tcPr>
          <w:p w:rsidR="00340C1B" w:rsidRPr="00340C1B" w:rsidRDefault="00340C1B" w:rsidP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P: In addition, another limitation with his theory is that he believed in a critical period.</w:t>
            </w:r>
          </w:p>
          <w:p w:rsidR="008A2887" w:rsidRPr="00340C1B" w:rsidRDefault="008A2887" w:rsidP="00340C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87" w:type="dxa"/>
          </w:tcPr>
          <w:p w:rsidR="00340C1B" w:rsidRPr="00340C1B" w:rsidRDefault="00340C1B" w:rsidP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P: Furthermore, another issue is that Bowlby believed the effects of privation were irreversible.</w:t>
            </w:r>
          </w:p>
          <w:p w:rsidR="008A2887" w:rsidRPr="00340C1B" w:rsidRDefault="008A2887" w:rsidP="00340C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2CFC" w:rsidTr="00AC2CFC">
        <w:tc>
          <w:tcPr>
            <w:tcW w:w="392" w:type="dxa"/>
            <w:vMerge w:val="restart"/>
            <w:shd w:val="clear" w:color="auto" w:fill="A6A6A6" w:themeFill="background1" w:themeFillShade="A6"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5367" w:type="dxa"/>
          </w:tcPr>
          <w:p w:rsidR="00AC2CFC" w:rsidRPr="00340C1B" w:rsidRDefault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For example, he argued that infants can only attach themselves to one primary caregiver – usually the mother.</w:t>
            </w:r>
          </w:p>
        </w:tc>
        <w:tc>
          <w:tcPr>
            <w:tcW w:w="4618" w:type="dxa"/>
          </w:tcPr>
          <w:p w:rsidR="00AC2CFC" w:rsidRPr="00340C1B" w:rsidRDefault="00340C1B" w:rsidP="008A2887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For example, infants had to form an attachment within the first 3 years of life.</w:t>
            </w:r>
          </w:p>
        </w:tc>
        <w:tc>
          <w:tcPr>
            <w:tcW w:w="4387" w:type="dxa"/>
          </w:tcPr>
          <w:p w:rsidR="00AC2CFC" w:rsidRPr="00340C1B" w:rsidRDefault="00340C1B" w:rsidP="007831D7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For example, Bowlby argued that if an infant didn’t have the opportunity to form an attachment they would then have poor motor skills/language skills and social skills that last into adulthood.</w:t>
            </w:r>
          </w:p>
        </w:tc>
      </w:tr>
      <w:tr w:rsidR="00AC2CFC" w:rsidTr="00AC2CFC">
        <w:tc>
          <w:tcPr>
            <w:tcW w:w="392" w:type="dxa"/>
            <w:vMerge/>
            <w:shd w:val="clear" w:color="auto" w:fill="A6A6A6" w:themeFill="background1" w:themeFillShade="A6"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5367" w:type="dxa"/>
          </w:tcPr>
          <w:p w:rsidR="00AC2CFC" w:rsidRPr="00340C1B" w:rsidRDefault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This is an issue because infants can form multiple attachments e.g. with fathers, grandparents, pets, blankets, friends etc</w:t>
            </w:r>
          </w:p>
        </w:tc>
        <w:tc>
          <w:tcPr>
            <w:tcW w:w="4618" w:type="dxa"/>
          </w:tcPr>
          <w:p w:rsidR="00AC2CFC" w:rsidRPr="00340C1B" w:rsidRDefault="00340C1B" w:rsidP="008A2887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This is an issue because critics argue that healthy attachments can form after the first 3 years of life, for example, with an adoptive parent.</w:t>
            </w:r>
          </w:p>
        </w:tc>
        <w:tc>
          <w:tcPr>
            <w:tcW w:w="4387" w:type="dxa"/>
          </w:tcPr>
          <w:p w:rsidR="00AC2CFC" w:rsidRPr="00340C1B" w:rsidRDefault="00340C1B" w:rsidP="007831D7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E: This is an issue because the Czech twins who suffered cruelty at an early age and were locked away in a cellar; gradually got over the abuse and neglect. They were adopted by 2 sisters, given strong, consistent care and eventually their motor/social and language skills became normal and above average. They went on to have successful marriages.</w:t>
            </w:r>
          </w:p>
        </w:tc>
      </w:tr>
      <w:tr w:rsidR="00AC2CFC" w:rsidTr="00AC2CFC">
        <w:tc>
          <w:tcPr>
            <w:tcW w:w="392" w:type="dxa"/>
            <w:vMerge/>
            <w:shd w:val="clear" w:color="auto" w:fill="A6A6A6" w:themeFill="background1" w:themeFillShade="A6"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C2CFC" w:rsidRPr="008A2887" w:rsidRDefault="00AC2CFC" w:rsidP="00AC2CFC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C2CFC" w:rsidRPr="008A2887" w:rsidRDefault="00AC2CFC">
            <w:pPr>
              <w:rPr>
                <w:sz w:val="28"/>
              </w:rPr>
            </w:pPr>
          </w:p>
        </w:tc>
        <w:tc>
          <w:tcPr>
            <w:tcW w:w="5367" w:type="dxa"/>
          </w:tcPr>
          <w:p w:rsidR="00AC2CFC" w:rsidRPr="00340C1B" w:rsidRDefault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L: As a result, the explanatory power of his theory is questioned.</w:t>
            </w:r>
          </w:p>
        </w:tc>
        <w:tc>
          <w:tcPr>
            <w:tcW w:w="4618" w:type="dxa"/>
          </w:tcPr>
          <w:p w:rsidR="00AC2CFC" w:rsidRPr="00340C1B" w:rsidRDefault="00340C1B">
            <w:pPr>
              <w:rPr>
                <w:rFonts w:cs="Calibri"/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 xml:space="preserve">L: </w:t>
            </w:r>
            <w:r w:rsidR="00F04B89">
              <w:rPr>
                <w:rFonts w:cs="Calibri"/>
                <w:sz w:val="24"/>
                <w:szCs w:val="24"/>
              </w:rPr>
              <w:t>D</w:t>
            </w:r>
            <w:bookmarkStart w:id="0" w:name="_GoBack"/>
            <w:bookmarkEnd w:id="0"/>
            <w:r w:rsidRPr="00340C1B">
              <w:rPr>
                <w:rFonts w:cs="Calibri"/>
                <w:sz w:val="24"/>
                <w:szCs w:val="24"/>
              </w:rPr>
              <w:t>eeming the theory weak because its explanatory power is cast into doubt.</w:t>
            </w:r>
          </w:p>
        </w:tc>
        <w:tc>
          <w:tcPr>
            <w:tcW w:w="4387" w:type="dxa"/>
          </w:tcPr>
          <w:p w:rsidR="00AC2CFC" w:rsidRPr="00340C1B" w:rsidRDefault="00340C1B" w:rsidP="007831D7">
            <w:pPr>
              <w:rPr>
                <w:sz w:val="24"/>
                <w:szCs w:val="24"/>
              </w:rPr>
            </w:pPr>
            <w:r w:rsidRPr="00340C1B">
              <w:rPr>
                <w:rFonts w:cs="Calibri"/>
                <w:sz w:val="24"/>
                <w:szCs w:val="24"/>
              </w:rPr>
              <w:t>L: Therefore, the credibility of Bowlby’s theory can be questioned.</w:t>
            </w:r>
          </w:p>
        </w:tc>
      </w:tr>
      <w:tr w:rsidR="008A2887" w:rsidTr="00BA4D3B">
        <w:tc>
          <w:tcPr>
            <w:tcW w:w="1242" w:type="dxa"/>
            <w:gridSpan w:val="3"/>
            <w:shd w:val="clear" w:color="auto" w:fill="A6A6A6" w:themeFill="background1" w:themeFillShade="A6"/>
          </w:tcPr>
          <w:p w:rsidR="008A2887" w:rsidRDefault="008A2887"/>
          <w:p w:rsidR="008A2887" w:rsidRDefault="008A2887"/>
          <w:p w:rsidR="008A2887" w:rsidRDefault="008A2887"/>
          <w:p w:rsidR="008A2887" w:rsidRDefault="008A2887"/>
          <w:p w:rsidR="008A2887" w:rsidRDefault="008A2887"/>
          <w:p w:rsidR="008A2887" w:rsidRDefault="008A2887"/>
          <w:p w:rsidR="008A2887" w:rsidRDefault="008A2887"/>
          <w:p w:rsidR="008A2887" w:rsidRDefault="008A2887"/>
          <w:p w:rsidR="008A2887" w:rsidRDefault="008A2887"/>
        </w:tc>
        <w:tc>
          <w:tcPr>
            <w:tcW w:w="5367" w:type="dxa"/>
          </w:tcPr>
          <w:p w:rsidR="008A2887" w:rsidRDefault="00340C1B">
            <w:r>
              <w:rPr>
                <w:noProof/>
                <w:lang w:eastAsia="en-GB"/>
              </w:rPr>
              <w:drawing>
                <wp:inline distT="0" distB="0" distL="0" distR="0">
                  <wp:extent cx="2804150" cy="1888176"/>
                  <wp:effectExtent l="0" t="0" r="0" b="0"/>
                  <wp:docPr id="2" name="Picture 2" descr="The Rowe family met at Beckside Residential Home where great-great-grandfather Frederick Rowe, 99, lives. From left, Ken Fraser Rowe, Jason Lloyd, father to Bethany Lloyd (on knee), Frederick Rowe  and Tracy Richard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owe family met at Beckside Residential Home where great-great-grandfather Frederick Rowe, 99, lives. From left, Ken Fraser Rowe, Jason Lloyd, father to Bethany Lloyd (on knee), Frederick Rowe  and Tracy Richard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97" cy="188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8A2887" w:rsidRDefault="00340C1B" w:rsidP="005738E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167467</wp:posOffset>
                      </wp:positionH>
                      <wp:positionV relativeFrom="paragraph">
                        <wp:posOffset>123487</wp:posOffset>
                      </wp:positionV>
                      <wp:extent cx="2516958" cy="1567180"/>
                      <wp:effectExtent l="57150" t="38100" r="36195" b="901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6958" cy="156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05C0F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9.7pt" to="211.4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298094</wp:posOffset>
                      </wp:positionH>
                      <wp:positionV relativeFrom="paragraph">
                        <wp:posOffset>123486</wp:posOffset>
                      </wp:positionV>
                      <wp:extent cx="2386941" cy="1567543"/>
                      <wp:effectExtent l="57150" t="38100" r="33020" b="901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6941" cy="15675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2EC1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9.7pt" to="211.4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4445</wp:posOffset>
                  </wp:positionV>
                  <wp:extent cx="1840230" cy="1840230"/>
                  <wp:effectExtent l="0" t="0" r="7620" b="7620"/>
                  <wp:wrapTight wrapText="bothSides">
                    <wp:wrapPolygon edited="0">
                      <wp:start x="0" y="0"/>
                      <wp:lineTo x="0" y="21466"/>
                      <wp:lineTo x="21466" y="21466"/>
                      <wp:lineTo x="21466" y="0"/>
                      <wp:lineTo x="0" y="0"/>
                    </wp:wrapPolygon>
                  </wp:wrapTight>
                  <wp:docPr id="3" name="Picture 3" descr="http://t2.gstatic.com/images?q=tbn:ANd9GcSIoySNsVlUF2rZhisFAp5Ts4-oRVsYPyHPffOYzsrW9n1g_uaQYg3IOgXMEg:www.howkapow.com/media/catalog/product/cache/1/image/1500x1500/9df78eab33525d08d6e5fb8d27136e95/t/e/telectric-clock-eggshell-blue-newg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IoySNsVlUF2rZhisFAp5Ts4-oRVsYPyHPffOYzsrW9n1g_uaQYg3IOgXMEg:www.howkapow.com/media/catalog/product/cache/1/image/1500x1500/9df78eab33525d08d6e5fb8d27136e95/t/e/telectric-clock-eggshell-blue-newg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7" w:type="dxa"/>
          </w:tcPr>
          <w:p w:rsidR="008A2887" w:rsidRDefault="00340C1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-4603750</wp:posOffset>
                  </wp:positionV>
                  <wp:extent cx="2528570" cy="1685925"/>
                  <wp:effectExtent l="0" t="0" r="5080" b="9525"/>
                  <wp:wrapTight wrapText="bothSides">
                    <wp:wrapPolygon edited="0">
                      <wp:start x="0" y="0"/>
                      <wp:lineTo x="0" y="21478"/>
                      <wp:lineTo x="21481" y="21478"/>
                      <wp:lineTo x="21481" y="0"/>
                      <wp:lineTo x="0" y="0"/>
                    </wp:wrapPolygon>
                  </wp:wrapTight>
                  <wp:docPr id="8" name="Picture 8" descr="http://t2.gstatic.com/images?q=tbn:ANd9GcRH1lS0A8oCgQ5mzWGeFZQWMtbAmK9lBFdb5qa_L0e-YH5-2PAHQHJE6cM:www.thisfabtrek.com/journey/europe/austria/20110101-vienna/twins-winte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H1lS0A8oCgQ5mzWGeFZQWMtbAmK9lBFdb5qa_L0e-YH5-2PAHQHJE6cM:www.thisfabtrek.com/journey/europe/austria/20110101-vienna/twins-winte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4915" w:rsidRDefault="006C4915"/>
    <w:sectPr w:rsidR="006C4915" w:rsidSect="00373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3142"/>
    <w:multiLevelType w:val="hybridMultilevel"/>
    <w:tmpl w:val="AEEE636C"/>
    <w:lvl w:ilvl="0" w:tplc="2008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15"/>
    <w:rsid w:val="00340C1B"/>
    <w:rsid w:val="00373C15"/>
    <w:rsid w:val="00426CBD"/>
    <w:rsid w:val="00486E9A"/>
    <w:rsid w:val="0051716B"/>
    <w:rsid w:val="005738E9"/>
    <w:rsid w:val="006C4915"/>
    <w:rsid w:val="008A2887"/>
    <w:rsid w:val="00AC2CFC"/>
    <w:rsid w:val="00AE2490"/>
    <w:rsid w:val="00BA4D3B"/>
    <w:rsid w:val="00C05FBE"/>
    <w:rsid w:val="00C7319F"/>
    <w:rsid w:val="00C976C1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BE2C"/>
  <w15:docId w15:val="{70593193-237D-4AE7-9DBF-B79A36F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Chris</cp:lastModifiedBy>
  <cp:revision>5</cp:revision>
  <dcterms:created xsi:type="dcterms:W3CDTF">2014-11-26T16:16:00Z</dcterms:created>
  <dcterms:modified xsi:type="dcterms:W3CDTF">2018-01-14T12:51:00Z</dcterms:modified>
</cp:coreProperties>
</file>