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614" w:type="dxa"/>
        <w:tblLayout w:type="fixed"/>
        <w:tblLook w:val="04A0" w:firstRow="1" w:lastRow="0" w:firstColumn="1" w:lastColumn="0" w:noHBand="0" w:noVBand="1"/>
      </w:tblPr>
      <w:tblGrid>
        <w:gridCol w:w="392"/>
        <w:gridCol w:w="6662"/>
        <w:gridCol w:w="8560"/>
      </w:tblGrid>
      <w:tr w:rsidR="00B0546A" w:rsidRPr="00BB7B1F" w:rsidTr="00B0546A">
        <w:tc>
          <w:tcPr>
            <w:tcW w:w="15614" w:type="dxa"/>
            <w:gridSpan w:val="3"/>
          </w:tcPr>
          <w:p w:rsidR="00B0546A" w:rsidRPr="00BB7B1F" w:rsidRDefault="00B0546A" w:rsidP="00B0546A">
            <w:pPr>
              <w:jc w:val="center"/>
              <w:rPr>
                <w:b/>
                <w:sz w:val="12"/>
                <w:u w:val="single"/>
              </w:rPr>
            </w:pPr>
            <w:r>
              <w:rPr>
                <w:b/>
                <w:sz w:val="12"/>
                <w:u w:val="single"/>
              </w:rPr>
              <w:t>Learning Table 6</w:t>
            </w:r>
            <w:r w:rsidRPr="00BB7B1F">
              <w:rPr>
                <w:b/>
                <w:sz w:val="12"/>
                <w:u w:val="single"/>
              </w:rPr>
              <w:t>: Policies</w:t>
            </w:r>
            <w:r>
              <w:rPr>
                <w:b/>
                <w:sz w:val="12"/>
                <w:u w:val="single"/>
              </w:rPr>
              <w:t xml:space="preserve"> for Equal Opportunity</w:t>
            </w:r>
          </w:p>
        </w:tc>
      </w:tr>
      <w:tr w:rsidR="00B0546A" w:rsidRPr="00BB7B1F" w:rsidTr="00B0546A">
        <w:tc>
          <w:tcPr>
            <w:tcW w:w="392" w:type="dxa"/>
            <w:textDirection w:val="btLr"/>
          </w:tcPr>
          <w:p w:rsidR="00A75B43" w:rsidRDefault="00A75B43" w:rsidP="00A75B43">
            <w:pPr>
              <w:ind w:right="113"/>
              <w:rPr>
                <w:b/>
                <w:sz w:val="12"/>
              </w:rPr>
            </w:pPr>
          </w:p>
          <w:p w:rsidR="00A75B43" w:rsidRDefault="00A75B43" w:rsidP="00B0546A">
            <w:pPr>
              <w:ind w:right="113"/>
              <w:jc w:val="center"/>
              <w:rPr>
                <w:b/>
                <w:sz w:val="12"/>
              </w:rPr>
            </w:pPr>
          </w:p>
          <w:p w:rsidR="00A75B43" w:rsidRDefault="00A75B43" w:rsidP="00B0546A">
            <w:pPr>
              <w:ind w:right="113"/>
              <w:jc w:val="center"/>
              <w:rPr>
                <w:b/>
                <w:sz w:val="12"/>
              </w:rPr>
            </w:pPr>
          </w:p>
          <w:p w:rsidR="00A75B43" w:rsidRDefault="00A75B43" w:rsidP="00B0546A">
            <w:pPr>
              <w:ind w:right="113"/>
              <w:jc w:val="center"/>
              <w:rPr>
                <w:b/>
                <w:sz w:val="12"/>
              </w:rPr>
            </w:pPr>
          </w:p>
          <w:p w:rsidR="00A75B43" w:rsidRDefault="00A75B43" w:rsidP="00B0546A">
            <w:pPr>
              <w:ind w:right="113"/>
              <w:jc w:val="center"/>
              <w:rPr>
                <w:b/>
                <w:sz w:val="12"/>
              </w:rPr>
            </w:pPr>
          </w:p>
          <w:p w:rsidR="00A75B43" w:rsidRDefault="00A75B43" w:rsidP="00B0546A">
            <w:pPr>
              <w:ind w:right="113"/>
              <w:jc w:val="center"/>
              <w:rPr>
                <w:b/>
                <w:sz w:val="12"/>
              </w:rPr>
            </w:pPr>
          </w:p>
          <w:p w:rsidR="00B0546A" w:rsidRPr="00BB7B1F" w:rsidRDefault="00B0546A" w:rsidP="00B0546A">
            <w:pPr>
              <w:ind w:right="113"/>
              <w:jc w:val="center"/>
              <w:rPr>
                <w:b/>
                <w:sz w:val="12"/>
              </w:rPr>
            </w:pPr>
            <w:proofErr w:type="spellStart"/>
            <w:r>
              <w:rPr>
                <w:b/>
                <w:sz w:val="12"/>
              </w:rPr>
              <w:t>oalition</w:t>
            </w:r>
            <w:proofErr w:type="spellEnd"/>
            <w:r>
              <w:rPr>
                <w:b/>
                <w:sz w:val="12"/>
              </w:rPr>
              <w:t xml:space="preserve">  Government Policies</w:t>
            </w:r>
          </w:p>
        </w:tc>
        <w:tc>
          <w:tcPr>
            <w:tcW w:w="6662" w:type="dxa"/>
          </w:tcPr>
          <w:p w:rsidR="00B0546A" w:rsidRPr="00BB7B1F" w:rsidRDefault="00B0546A" w:rsidP="00207CD4">
            <w:pPr>
              <w:jc w:val="center"/>
              <w:rPr>
                <w:b/>
                <w:sz w:val="12"/>
              </w:rPr>
            </w:pPr>
            <w:r w:rsidRPr="00BB7B1F">
              <w:rPr>
                <w:b/>
                <w:sz w:val="12"/>
              </w:rPr>
              <w:t>Analysis</w:t>
            </w:r>
          </w:p>
        </w:tc>
        <w:tc>
          <w:tcPr>
            <w:tcW w:w="8560" w:type="dxa"/>
          </w:tcPr>
          <w:p w:rsidR="00B0546A" w:rsidRPr="00BB7B1F" w:rsidRDefault="00B0546A" w:rsidP="00207CD4">
            <w:pPr>
              <w:jc w:val="center"/>
              <w:rPr>
                <w:b/>
                <w:sz w:val="12"/>
              </w:rPr>
            </w:pPr>
            <w:r w:rsidRPr="00BB7B1F">
              <w:rPr>
                <w:b/>
                <w:sz w:val="12"/>
              </w:rPr>
              <w:t>Evaluation</w:t>
            </w:r>
          </w:p>
        </w:tc>
      </w:tr>
      <w:tr w:rsidR="00B0546A" w:rsidRPr="00BB7B1F" w:rsidTr="00B0546A">
        <w:trPr>
          <w:trHeight w:val="4876"/>
        </w:trPr>
        <w:tc>
          <w:tcPr>
            <w:tcW w:w="392" w:type="dxa"/>
            <w:textDirection w:val="btLr"/>
          </w:tcPr>
          <w:p w:rsidR="00B0546A" w:rsidRPr="00BB7B1F" w:rsidRDefault="00B0546A" w:rsidP="00207CD4">
            <w:pPr>
              <w:spacing w:after="200" w:line="276" w:lineRule="auto"/>
              <w:ind w:left="113" w:right="113"/>
              <w:jc w:val="center"/>
              <w:rPr>
                <w:sz w:val="12"/>
              </w:rPr>
            </w:pPr>
            <w:r>
              <w:rPr>
                <w:sz w:val="12"/>
              </w:rPr>
              <w:t>Policies on Gender and Ethnicity</w:t>
            </w:r>
          </w:p>
        </w:tc>
        <w:tc>
          <w:tcPr>
            <w:tcW w:w="6662" w:type="dxa"/>
          </w:tcPr>
          <w:p w:rsidR="00B0546A" w:rsidRPr="0029745F" w:rsidRDefault="00970901" w:rsidP="00B0546A">
            <w:pPr>
              <w:rPr>
                <w:b/>
                <w:sz w:val="12"/>
                <w:u w:val="single"/>
              </w:rPr>
            </w:pPr>
            <w:r w:rsidRPr="0029745F">
              <w:rPr>
                <w:b/>
                <w:sz w:val="12"/>
                <w:u w:val="single"/>
              </w:rPr>
              <w:t>Gender</w:t>
            </w:r>
          </w:p>
          <w:p w:rsidR="00970901" w:rsidRDefault="00970901" w:rsidP="00B0546A">
            <w:pPr>
              <w:rPr>
                <w:sz w:val="12"/>
              </w:rPr>
            </w:pPr>
            <w:r>
              <w:rPr>
                <w:sz w:val="12"/>
              </w:rPr>
              <w:t>In the 19</w:t>
            </w:r>
            <w:r w:rsidRPr="00970901">
              <w:rPr>
                <w:sz w:val="12"/>
                <w:vertAlign w:val="superscript"/>
              </w:rPr>
              <w:t>th</w:t>
            </w:r>
            <w:r>
              <w:rPr>
                <w:sz w:val="12"/>
              </w:rPr>
              <w:t xml:space="preserve"> century, </w:t>
            </w:r>
            <w:r w:rsidR="00345DC7">
              <w:rPr>
                <w:sz w:val="12"/>
              </w:rPr>
              <w:t>females</w:t>
            </w:r>
            <w:r>
              <w:rPr>
                <w:sz w:val="12"/>
              </w:rPr>
              <w:t xml:space="preserve"> were largely excluded from higher education.  More recently, in the tripartite system girls often had to achieve a higher mark than boys in the 11+ to obtain a grammar school place.</w:t>
            </w:r>
          </w:p>
          <w:p w:rsidR="00970901" w:rsidRDefault="00970901" w:rsidP="00B0546A">
            <w:pPr>
              <w:rPr>
                <w:sz w:val="12"/>
              </w:rPr>
            </w:pPr>
            <w:r>
              <w:rPr>
                <w:sz w:val="12"/>
              </w:rPr>
              <w:t>Since the 1970s, however, polices such as GIST and WISE have been introduced to try to reduce gender differences in subject choice:</w:t>
            </w:r>
          </w:p>
          <w:p w:rsidR="00970901" w:rsidRPr="0029745F" w:rsidRDefault="00970901" w:rsidP="0029745F">
            <w:pPr>
              <w:pStyle w:val="ListParagraph"/>
              <w:numPr>
                <w:ilvl w:val="0"/>
                <w:numId w:val="7"/>
              </w:numPr>
              <w:rPr>
                <w:rFonts w:cstheme="minorHAnsi"/>
                <w:sz w:val="12"/>
                <w:szCs w:val="12"/>
              </w:rPr>
            </w:pPr>
            <w:r w:rsidRPr="0029745F">
              <w:rPr>
                <w:sz w:val="12"/>
              </w:rPr>
              <w:t xml:space="preserve">GIST: Girls Into Science and Technology: </w:t>
            </w:r>
            <w:r w:rsidRPr="0029745F">
              <w:rPr>
                <w:rFonts w:cstheme="minorHAnsi"/>
                <w:sz w:val="12"/>
                <w:szCs w:val="12"/>
              </w:rPr>
              <w:t>The GIST program is a series of day camps, summer camps, and other educational workshops designed and taught by women, for girls ages 5-14. The educational content of the programs focuses on different aspects of science, technology, engineering, and mathematics, and is designed to introduce and educate girls in these areas in single gender settings. The goal of the program is to inspire more girls to explore careers in the sciences</w:t>
            </w:r>
          </w:p>
          <w:p w:rsidR="0029745F" w:rsidRPr="00A75B43" w:rsidRDefault="0029745F" w:rsidP="0029745F">
            <w:pPr>
              <w:pStyle w:val="ListParagraph"/>
              <w:numPr>
                <w:ilvl w:val="0"/>
                <w:numId w:val="7"/>
              </w:numPr>
              <w:rPr>
                <w:sz w:val="12"/>
              </w:rPr>
            </w:pPr>
            <w:r w:rsidRPr="0029745F">
              <w:rPr>
                <w:rFonts w:cstheme="minorHAnsi"/>
                <w:sz w:val="12"/>
                <w:szCs w:val="12"/>
              </w:rPr>
              <w:t xml:space="preserve">WISE: Women into Science and Engineering: </w:t>
            </w:r>
            <w:r w:rsidRPr="0029745F">
              <w:rPr>
                <w:rFonts w:cstheme="minorHAnsi"/>
                <w:sz w:val="12"/>
                <w:szCs w:val="12"/>
                <w:lang w:val="en"/>
              </w:rPr>
              <w:t>WISE inspires girls and women to study and build careers using science, technology, engineering and maths (STEM). They advise organisations on how to create environments where those women can do their best work and thrive</w:t>
            </w:r>
          </w:p>
          <w:p w:rsidR="00A75B43" w:rsidRPr="00A75B43" w:rsidRDefault="00A75B43" w:rsidP="00A75B43">
            <w:pPr>
              <w:pStyle w:val="ListParagraph"/>
              <w:rPr>
                <w:sz w:val="12"/>
                <w:szCs w:val="12"/>
              </w:rPr>
            </w:pPr>
            <w:r>
              <w:rPr>
                <w:noProof/>
                <w:lang w:eastAsia="en-GB"/>
              </w:rPr>
              <w:drawing>
                <wp:anchor distT="0" distB="0" distL="114300" distR="114300" simplePos="0" relativeHeight="251658240" behindDoc="1" locked="0" layoutInCell="1" allowOverlap="1" wp14:anchorId="7EECD4E7" wp14:editId="5EB0942F">
                  <wp:simplePos x="0" y="0"/>
                  <wp:positionH relativeFrom="column">
                    <wp:posOffset>489585</wp:posOffset>
                  </wp:positionH>
                  <wp:positionV relativeFrom="paragraph">
                    <wp:posOffset>281940</wp:posOffset>
                  </wp:positionV>
                  <wp:extent cx="3196590" cy="1161415"/>
                  <wp:effectExtent l="0" t="0" r="3810" b="635"/>
                  <wp:wrapTight wrapText="bothSides">
                    <wp:wrapPolygon edited="0">
                      <wp:start x="0" y="0"/>
                      <wp:lineTo x="0" y="21258"/>
                      <wp:lineTo x="21497" y="21258"/>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591" t="30461" r="35591" b="39573"/>
                          <a:stretch/>
                        </pic:blipFill>
                        <pic:spPr bwMode="auto">
                          <a:xfrm>
                            <a:off x="0" y="0"/>
                            <a:ext cx="3196590" cy="1161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5B43">
              <w:rPr>
                <w:sz w:val="12"/>
                <w:szCs w:val="12"/>
              </w:rPr>
              <w:t>According to th</w:t>
            </w:r>
            <w:r>
              <w:rPr>
                <w:sz w:val="12"/>
                <w:szCs w:val="12"/>
              </w:rPr>
              <w:t xml:space="preserve">e WISE </w:t>
            </w:r>
            <w:r w:rsidRPr="00A75B43">
              <w:rPr>
                <w:sz w:val="12"/>
                <w:szCs w:val="12"/>
              </w:rPr>
              <w:t xml:space="preserve">campaign’s latest analysis of UK labour market statistics, women make up just 12.8% </w:t>
            </w:r>
            <w:r w:rsidR="009303B3">
              <w:rPr>
                <w:sz w:val="12"/>
                <w:szCs w:val="12"/>
              </w:rPr>
              <w:t xml:space="preserve">(690,000 females) </w:t>
            </w:r>
            <w:r w:rsidRPr="00A75B43">
              <w:rPr>
                <w:sz w:val="12"/>
                <w:szCs w:val="12"/>
              </w:rPr>
              <w:t>of the Stem workforce</w:t>
            </w:r>
            <w:r w:rsidR="009303B3">
              <w:rPr>
                <w:sz w:val="12"/>
                <w:szCs w:val="12"/>
              </w:rPr>
              <w:t xml:space="preserve"> (compared to 4.71 million males)</w:t>
            </w:r>
            <w:bookmarkStart w:id="0" w:name="_GoBack"/>
            <w:bookmarkEnd w:id="0"/>
            <w:r w:rsidRPr="00A75B43">
              <w:rPr>
                <w:sz w:val="12"/>
                <w:szCs w:val="12"/>
              </w:rPr>
              <w:t>. The proportion had increased by only 0.2 percentage points since their analysis in 2012.</w:t>
            </w:r>
          </w:p>
          <w:p w:rsidR="0029745F" w:rsidRDefault="0029745F" w:rsidP="0029745F">
            <w:pPr>
              <w:rPr>
                <w:sz w:val="12"/>
              </w:rPr>
            </w:pPr>
          </w:p>
          <w:p w:rsidR="00A75B43" w:rsidRDefault="00A75B43" w:rsidP="0029745F">
            <w:pPr>
              <w:rPr>
                <w:sz w:val="12"/>
              </w:rPr>
            </w:pPr>
          </w:p>
          <w:p w:rsidR="00A75B43" w:rsidRDefault="00A75B43" w:rsidP="0029745F">
            <w:pPr>
              <w:rPr>
                <w:b/>
                <w:sz w:val="12"/>
                <w:u w:val="single"/>
              </w:rPr>
            </w:pPr>
          </w:p>
          <w:p w:rsidR="00A75B43" w:rsidRDefault="00A75B43" w:rsidP="0029745F">
            <w:pPr>
              <w:rPr>
                <w:b/>
                <w:sz w:val="12"/>
                <w:u w:val="single"/>
              </w:rPr>
            </w:pPr>
          </w:p>
          <w:p w:rsidR="00A75B43" w:rsidRDefault="00A75B43" w:rsidP="0029745F">
            <w:pPr>
              <w:rPr>
                <w:b/>
                <w:sz w:val="12"/>
                <w:u w:val="single"/>
              </w:rPr>
            </w:pPr>
          </w:p>
          <w:p w:rsidR="00A75B43" w:rsidRDefault="00A75B43" w:rsidP="0029745F">
            <w:pPr>
              <w:rPr>
                <w:b/>
                <w:sz w:val="12"/>
                <w:u w:val="single"/>
              </w:rPr>
            </w:pPr>
          </w:p>
          <w:p w:rsidR="00A75B43" w:rsidRDefault="00A75B43" w:rsidP="0029745F">
            <w:pPr>
              <w:rPr>
                <w:b/>
                <w:sz w:val="12"/>
                <w:u w:val="single"/>
              </w:rPr>
            </w:pPr>
          </w:p>
          <w:p w:rsidR="00A75B43" w:rsidRDefault="00A75B43" w:rsidP="0029745F">
            <w:pPr>
              <w:rPr>
                <w:b/>
                <w:sz w:val="12"/>
                <w:u w:val="single"/>
              </w:rPr>
            </w:pPr>
          </w:p>
          <w:p w:rsidR="00A75B43" w:rsidRDefault="00A75B43" w:rsidP="0029745F">
            <w:pPr>
              <w:rPr>
                <w:b/>
                <w:sz w:val="12"/>
                <w:u w:val="single"/>
              </w:rPr>
            </w:pPr>
          </w:p>
          <w:p w:rsidR="00A75B43" w:rsidRDefault="00A75B43" w:rsidP="0029745F">
            <w:pPr>
              <w:rPr>
                <w:b/>
                <w:sz w:val="12"/>
                <w:u w:val="single"/>
              </w:rPr>
            </w:pPr>
          </w:p>
          <w:p w:rsidR="00A75B43" w:rsidRDefault="00A75B43" w:rsidP="0029745F">
            <w:pPr>
              <w:rPr>
                <w:b/>
                <w:sz w:val="12"/>
                <w:u w:val="single"/>
              </w:rPr>
            </w:pPr>
          </w:p>
          <w:p w:rsidR="00A75B43" w:rsidRDefault="00A75B43" w:rsidP="0029745F">
            <w:pPr>
              <w:rPr>
                <w:b/>
                <w:sz w:val="12"/>
                <w:u w:val="single"/>
              </w:rPr>
            </w:pPr>
          </w:p>
          <w:p w:rsidR="00A75B43" w:rsidRDefault="00A75B43" w:rsidP="0029745F">
            <w:pPr>
              <w:rPr>
                <w:b/>
                <w:sz w:val="12"/>
                <w:u w:val="single"/>
              </w:rPr>
            </w:pPr>
          </w:p>
          <w:p w:rsidR="00A75B43" w:rsidRDefault="00A75B43" w:rsidP="0029745F">
            <w:pPr>
              <w:rPr>
                <w:b/>
                <w:sz w:val="12"/>
                <w:u w:val="single"/>
              </w:rPr>
            </w:pPr>
          </w:p>
          <w:p w:rsidR="0029745F" w:rsidRPr="007E77DD" w:rsidRDefault="00817477" w:rsidP="0029745F">
            <w:pPr>
              <w:rPr>
                <w:b/>
                <w:sz w:val="12"/>
                <w:u w:val="single"/>
              </w:rPr>
            </w:pPr>
            <w:r w:rsidRPr="007E77DD">
              <w:rPr>
                <w:b/>
                <w:sz w:val="12"/>
                <w:u w:val="single"/>
              </w:rPr>
              <w:t>Ethnicity</w:t>
            </w:r>
          </w:p>
          <w:p w:rsidR="00817477" w:rsidRDefault="00817477" w:rsidP="0029745F">
            <w:pPr>
              <w:rPr>
                <w:sz w:val="12"/>
              </w:rPr>
            </w:pPr>
            <w:r>
              <w:rPr>
                <w:sz w:val="12"/>
              </w:rPr>
              <w:t>These policies have gone through several phases to raise achievements of children from minority ethnic backgrounds:</w:t>
            </w:r>
          </w:p>
          <w:p w:rsidR="007E77DD" w:rsidRDefault="007E77DD" w:rsidP="0029745F">
            <w:pPr>
              <w:rPr>
                <w:sz w:val="12"/>
              </w:rPr>
            </w:pPr>
          </w:p>
          <w:p w:rsidR="00817477" w:rsidRPr="007E77DD" w:rsidRDefault="00817477" w:rsidP="007E77DD">
            <w:pPr>
              <w:pStyle w:val="ListParagraph"/>
              <w:numPr>
                <w:ilvl w:val="0"/>
                <w:numId w:val="8"/>
              </w:numPr>
              <w:rPr>
                <w:rFonts w:cstheme="minorHAnsi"/>
                <w:sz w:val="12"/>
                <w:szCs w:val="12"/>
                <w:lang w:val="en"/>
              </w:rPr>
            </w:pPr>
            <w:r w:rsidRPr="007E77DD">
              <w:rPr>
                <w:b/>
                <w:sz w:val="12"/>
              </w:rPr>
              <w:t>Assimilation:</w:t>
            </w:r>
            <w:r w:rsidRPr="007E77DD">
              <w:rPr>
                <w:sz w:val="12"/>
              </w:rPr>
              <w:t xml:space="preserve"> policies in the 60s and 70s focussed on the minorities assimilating (adopting social characteristics of British culture and society) as a way of helping those that didn’t have English as their first language e.g. compensatory education policies including ‘Sure Start’ and ‘Head start’ (programmes </w:t>
            </w:r>
            <w:r w:rsidRPr="007E77DD">
              <w:rPr>
                <w:rFonts w:cstheme="minorHAnsi"/>
                <w:sz w:val="12"/>
                <w:szCs w:val="12"/>
                <w:lang w:val="en"/>
              </w:rPr>
              <w:t>designed to support children’s learning skills, health and well-being, and social and emotional development from disadvantaged groups or backgrounds, including ethnic minority groups)</w:t>
            </w:r>
          </w:p>
          <w:p w:rsidR="007E77DD" w:rsidRDefault="007E77DD" w:rsidP="0029745F">
            <w:pPr>
              <w:rPr>
                <w:rFonts w:cstheme="minorHAnsi"/>
                <w:sz w:val="12"/>
                <w:szCs w:val="12"/>
                <w:lang w:val="en"/>
              </w:rPr>
            </w:pPr>
          </w:p>
          <w:p w:rsidR="007E77DD" w:rsidRDefault="007E77DD" w:rsidP="007E77DD">
            <w:pPr>
              <w:pStyle w:val="ListParagraph"/>
              <w:numPr>
                <w:ilvl w:val="0"/>
                <w:numId w:val="8"/>
              </w:numPr>
              <w:rPr>
                <w:rFonts w:cstheme="minorHAnsi"/>
                <w:sz w:val="12"/>
                <w:szCs w:val="12"/>
                <w:lang w:val="en"/>
              </w:rPr>
            </w:pPr>
            <w:r w:rsidRPr="007E77DD">
              <w:rPr>
                <w:rFonts w:cstheme="minorHAnsi"/>
                <w:b/>
                <w:sz w:val="12"/>
                <w:szCs w:val="12"/>
                <w:lang w:val="en"/>
              </w:rPr>
              <w:t>Multicultural education:</w:t>
            </w:r>
            <w:r w:rsidRPr="007E77DD">
              <w:rPr>
                <w:rFonts w:cstheme="minorHAnsi"/>
                <w:sz w:val="12"/>
                <w:szCs w:val="12"/>
                <w:lang w:val="en"/>
              </w:rPr>
              <w:t xml:space="preserve"> MCE policies through the 80s and 90s aimed to promote achievement of all children from minority ethnic groups by valuing all cultures in the school curriculum – this would mean increasing self-esteem and thereby increasing achievement.</w:t>
            </w:r>
          </w:p>
          <w:p w:rsidR="0064595F" w:rsidRPr="0064595F" w:rsidRDefault="0064595F" w:rsidP="0064595F">
            <w:pPr>
              <w:pStyle w:val="ListParagraph"/>
              <w:rPr>
                <w:rFonts w:cstheme="minorHAnsi"/>
                <w:sz w:val="12"/>
                <w:szCs w:val="12"/>
                <w:lang w:val="en"/>
              </w:rPr>
            </w:pPr>
          </w:p>
          <w:p w:rsidR="0064595F" w:rsidRDefault="0064595F" w:rsidP="0064595F">
            <w:pPr>
              <w:pStyle w:val="ListParagraph"/>
              <w:numPr>
                <w:ilvl w:val="0"/>
                <w:numId w:val="8"/>
              </w:numPr>
              <w:rPr>
                <w:rFonts w:cstheme="minorHAnsi"/>
                <w:sz w:val="12"/>
                <w:szCs w:val="12"/>
                <w:lang w:val="en"/>
              </w:rPr>
            </w:pPr>
            <w:r w:rsidRPr="0064595F">
              <w:rPr>
                <w:rFonts w:cstheme="minorHAnsi"/>
                <w:b/>
                <w:sz w:val="12"/>
                <w:szCs w:val="12"/>
                <w:lang w:val="en"/>
              </w:rPr>
              <w:t>Social Inclusion:</w:t>
            </w:r>
            <w:r>
              <w:rPr>
                <w:rFonts w:cstheme="minorHAnsi"/>
                <w:sz w:val="12"/>
                <w:szCs w:val="12"/>
                <w:lang w:val="en"/>
              </w:rPr>
              <w:t xml:space="preserve"> these policies became the focus in the late 90s and included; </w:t>
            </w:r>
          </w:p>
          <w:p w:rsidR="0064595F" w:rsidRPr="0064595F" w:rsidRDefault="0064595F" w:rsidP="0064595F">
            <w:pPr>
              <w:pStyle w:val="ListParagraph"/>
              <w:rPr>
                <w:rFonts w:cstheme="minorHAnsi"/>
                <w:sz w:val="12"/>
                <w:szCs w:val="12"/>
                <w:lang w:val="en"/>
              </w:rPr>
            </w:pPr>
          </w:p>
          <w:p w:rsidR="0064595F" w:rsidRDefault="0064595F" w:rsidP="0064595F">
            <w:pPr>
              <w:pStyle w:val="ListParagraph"/>
              <w:numPr>
                <w:ilvl w:val="0"/>
                <w:numId w:val="9"/>
              </w:numPr>
              <w:jc w:val="center"/>
              <w:rPr>
                <w:rFonts w:cstheme="minorHAnsi"/>
                <w:sz w:val="12"/>
                <w:szCs w:val="12"/>
                <w:lang w:val="en"/>
              </w:rPr>
            </w:pPr>
            <w:r>
              <w:rPr>
                <w:rFonts w:cstheme="minorHAnsi"/>
                <w:sz w:val="12"/>
                <w:szCs w:val="12"/>
                <w:lang w:val="en"/>
              </w:rPr>
              <w:t>Detailed monitoring of exam results by ethnicity</w:t>
            </w:r>
          </w:p>
          <w:p w:rsidR="0064595F" w:rsidRPr="0064595F" w:rsidRDefault="0064595F" w:rsidP="0064595F">
            <w:pPr>
              <w:pStyle w:val="ListParagraph"/>
              <w:jc w:val="center"/>
              <w:rPr>
                <w:rFonts w:cstheme="minorHAnsi"/>
                <w:sz w:val="12"/>
                <w:szCs w:val="12"/>
                <w:lang w:val="en"/>
              </w:rPr>
            </w:pPr>
          </w:p>
          <w:p w:rsidR="0064595F" w:rsidRDefault="0064595F" w:rsidP="0064595F">
            <w:pPr>
              <w:pStyle w:val="ListParagraph"/>
              <w:numPr>
                <w:ilvl w:val="0"/>
                <w:numId w:val="9"/>
              </w:numPr>
              <w:jc w:val="center"/>
              <w:rPr>
                <w:rFonts w:cstheme="minorHAnsi"/>
                <w:sz w:val="12"/>
                <w:szCs w:val="12"/>
                <w:lang w:val="en"/>
              </w:rPr>
            </w:pPr>
            <w:r>
              <w:rPr>
                <w:rFonts w:cstheme="minorHAnsi"/>
                <w:sz w:val="12"/>
                <w:szCs w:val="12"/>
                <w:lang w:val="en"/>
              </w:rPr>
              <w:t>Amending the Race Relations Act  to place a legal duty on schools to promote racial equality</w:t>
            </w:r>
          </w:p>
          <w:p w:rsidR="0064595F" w:rsidRPr="0064595F" w:rsidRDefault="0064595F" w:rsidP="0064595F">
            <w:pPr>
              <w:pStyle w:val="ListParagraph"/>
              <w:jc w:val="center"/>
              <w:rPr>
                <w:rFonts w:cstheme="minorHAnsi"/>
                <w:sz w:val="12"/>
                <w:szCs w:val="12"/>
                <w:lang w:val="en"/>
              </w:rPr>
            </w:pPr>
          </w:p>
          <w:p w:rsidR="0064595F" w:rsidRDefault="0064595F" w:rsidP="0064595F">
            <w:pPr>
              <w:pStyle w:val="ListParagraph"/>
              <w:numPr>
                <w:ilvl w:val="0"/>
                <w:numId w:val="9"/>
              </w:numPr>
              <w:jc w:val="center"/>
              <w:rPr>
                <w:rFonts w:cstheme="minorHAnsi"/>
                <w:sz w:val="12"/>
                <w:szCs w:val="12"/>
                <w:lang w:val="en"/>
              </w:rPr>
            </w:pPr>
            <w:r>
              <w:rPr>
                <w:rFonts w:cstheme="minorHAnsi"/>
                <w:sz w:val="12"/>
                <w:szCs w:val="12"/>
                <w:lang w:val="en"/>
              </w:rPr>
              <w:t>Help for voluntary ‘Saturday schools’ in the black community</w:t>
            </w:r>
          </w:p>
          <w:p w:rsidR="0064595F" w:rsidRPr="0064595F" w:rsidRDefault="0064595F" w:rsidP="0064595F">
            <w:pPr>
              <w:pStyle w:val="ListParagraph"/>
              <w:jc w:val="center"/>
              <w:rPr>
                <w:rFonts w:cstheme="minorHAnsi"/>
                <w:sz w:val="12"/>
                <w:szCs w:val="12"/>
                <w:lang w:val="en"/>
              </w:rPr>
            </w:pPr>
          </w:p>
          <w:p w:rsidR="0064595F" w:rsidRPr="0064595F" w:rsidRDefault="0064595F" w:rsidP="0064595F">
            <w:pPr>
              <w:pStyle w:val="ListParagraph"/>
              <w:numPr>
                <w:ilvl w:val="0"/>
                <w:numId w:val="9"/>
              </w:numPr>
              <w:jc w:val="center"/>
              <w:rPr>
                <w:rFonts w:cstheme="minorHAnsi"/>
                <w:sz w:val="12"/>
                <w:szCs w:val="12"/>
                <w:lang w:val="en"/>
              </w:rPr>
            </w:pPr>
            <w:r>
              <w:rPr>
                <w:rFonts w:cstheme="minorHAnsi"/>
                <w:sz w:val="12"/>
                <w:szCs w:val="12"/>
                <w:lang w:val="en"/>
              </w:rPr>
              <w:t xml:space="preserve">English as Additional Language (EAL) </w:t>
            </w:r>
            <w:r w:rsidR="00345DC7">
              <w:rPr>
                <w:rFonts w:cstheme="minorHAnsi"/>
                <w:sz w:val="12"/>
                <w:szCs w:val="12"/>
                <w:lang w:val="en"/>
              </w:rPr>
              <w:t>programs</w:t>
            </w:r>
          </w:p>
        </w:tc>
        <w:tc>
          <w:tcPr>
            <w:tcW w:w="8560" w:type="dxa"/>
          </w:tcPr>
          <w:p w:rsidR="00B0546A" w:rsidRPr="0005665F" w:rsidRDefault="0005665F" w:rsidP="00207CD4">
            <w:pPr>
              <w:rPr>
                <w:b/>
                <w:sz w:val="12"/>
                <w:u w:val="single"/>
              </w:rPr>
            </w:pPr>
            <w:r w:rsidRPr="0005665F">
              <w:rPr>
                <w:b/>
                <w:sz w:val="12"/>
                <w:u w:val="single"/>
              </w:rPr>
              <w:t>Evaluation for Gender Policies</w:t>
            </w:r>
          </w:p>
          <w:p w:rsidR="0005665F" w:rsidRPr="00BB7B1F" w:rsidRDefault="00423C46" w:rsidP="00207CD4">
            <w:pPr>
              <w:rPr>
                <w:sz w:val="12"/>
              </w:rPr>
            </w:pPr>
            <w:r>
              <w:rPr>
                <w:sz w:val="12"/>
              </w:rPr>
              <w:t>Radical feminists would argue</w:t>
            </w:r>
            <w:r w:rsidR="0005665F">
              <w:rPr>
                <w:sz w:val="12"/>
              </w:rPr>
              <w:t xml:space="preserve"> that although these policies do encourage girls to engage in more scientific subjects and areas of technology, there is still a huge under-representation of women across the curriculum in other areas (e.g. History) which may discourage women to become involved in career opportunities linked to this</w:t>
            </w:r>
          </w:p>
          <w:p w:rsidR="0005665F" w:rsidRDefault="00B0546A" w:rsidP="00207CD4">
            <w:pPr>
              <w:rPr>
                <w:sz w:val="12"/>
              </w:rPr>
            </w:pPr>
            <w:r w:rsidRPr="00BB7B1F">
              <w:rPr>
                <w:sz w:val="12"/>
              </w:rPr>
              <w:t xml:space="preserve"> </w:t>
            </w:r>
          </w:p>
          <w:p w:rsidR="0005665F" w:rsidRPr="0005665F" w:rsidRDefault="0005665F" w:rsidP="00207CD4">
            <w:pPr>
              <w:rPr>
                <w:b/>
                <w:sz w:val="12"/>
                <w:u w:val="single"/>
              </w:rPr>
            </w:pPr>
            <w:r w:rsidRPr="0005665F">
              <w:rPr>
                <w:b/>
                <w:sz w:val="12"/>
                <w:u w:val="single"/>
              </w:rPr>
              <w:t xml:space="preserve">Evaluation for Assimilation in Ethnicity </w:t>
            </w:r>
          </w:p>
          <w:p w:rsidR="0005665F" w:rsidRDefault="0005665F" w:rsidP="00207CD4">
            <w:pPr>
              <w:rPr>
                <w:sz w:val="12"/>
              </w:rPr>
            </w:pPr>
            <w:r>
              <w:rPr>
                <w:sz w:val="12"/>
              </w:rPr>
              <w:t xml:space="preserve">Critics argue that some minority groups who are at risk of underachieving e.g. African Caribbean pupils already speak English and the real cause of their under-achievement is poverty or racism </w:t>
            </w:r>
          </w:p>
          <w:p w:rsidR="0005665F" w:rsidRDefault="0005665F" w:rsidP="00207CD4">
            <w:pPr>
              <w:rPr>
                <w:sz w:val="12"/>
              </w:rPr>
            </w:pPr>
          </w:p>
          <w:p w:rsidR="0005665F" w:rsidRPr="00345DC7" w:rsidRDefault="0005665F" w:rsidP="00207CD4">
            <w:pPr>
              <w:rPr>
                <w:b/>
                <w:sz w:val="12"/>
                <w:u w:val="single"/>
              </w:rPr>
            </w:pPr>
            <w:r w:rsidRPr="00345DC7">
              <w:rPr>
                <w:b/>
                <w:sz w:val="12"/>
                <w:u w:val="single"/>
              </w:rPr>
              <w:t>Evaluation for MCE</w:t>
            </w:r>
          </w:p>
          <w:p w:rsidR="0005665F" w:rsidRDefault="0005665F" w:rsidP="00207CD4">
            <w:pPr>
              <w:rPr>
                <w:sz w:val="12"/>
              </w:rPr>
            </w:pPr>
            <w:r>
              <w:rPr>
                <w:sz w:val="12"/>
              </w:rPr>
              <w:t xml:space="preserve">Maureen Stone (1981) argues that </w:t>
            </w:r>
            <w:r w:rsidR="00345DC7">
              <w:rPr>
                <w:sz w:val="12"/>
              </w:rPr>
              <w:t>black</w:t>
            </w:r>
            <w:r>
              <w:rPr>
                <w:sz w:val="12"/>
              </w:rPr>
              <w:t xml:space="preserve"> pupils do not fail because of low self-esteem so MCE is misguided.  Critical race theorists argue that MCE is ‘tokenism’ and that it picks out stereotypical features of minority cultures for inclusion in the curriculum</w:t>
            </w:r>
            <w:r w:rsidR="00345DC7">
              <w:rPr>
                <w:sz w:val="12"/>
              </w:rPr>
              <w:t>,</w:t>
            </w:r>
            <w:r>
              <w:rPr>
                <w:sz w:val="12"/>
              </w:rPr>
              <w:t xml:space="preserve"> but still fails to tackle institutional racism</w:t>
            </w:r>
            <w:r w:rsidR="00345DC7">
              <w:rPr>
                <w:sz w:val="12"/>
              </w:rPr>
              <w:t>.</w:t>
            </w:r>
          </w:p>
          <w:p w:rsidR="00345DC7" w:rsidRDefault="00345DC7" w:rsidP="00207CD4">
            <w:pPr>
              <w:rPr>
                <w:sz w:val="12"/>
              </w:rPr>
            </w:pPr>
            <w:r>
              <w:rPr>
                <w:sz w:val="12"/>
              </w:rPr>
              <w:t>The New right criticise MCE for continuing to highlight a cultural division.  They argue policies like this are the reason for a cultural division.  They state that education should promote a shared national culture and identity into which minorities should be assimilated.</w:t>
            </w:r>
          </w:p>
          <w:p w:rsidR="00345DC7" w:rsidRDefault="00345DC7" w:rsidP="00207CD4">
            <w:pPr>
              <w:rPr>
                <w:sz w:val="12"/>
              </w:rPr>
            </w:pPr>
          </w:p>
          <w:p w:rsidR="00345DC7" w:rsidRPr="00345DC7" w:rsidRDefault="00345DC7" w:rsidP="00207CD4">
            <w:pPr>
              <w:rPr>
                <w:b/>
                <w:sz w:val="12"/>
                <w:u w:val="single"/>
              </w:rPr>
            </w:pPr>
            <w:r w:rsidRPr="00345DC7">
              <w:rPr>
                <w:b/>
                <w:sz w:val="12"/>
                <w:u w:val="single"/>
              </w:rPr>
              <w:t>Evaluation for Social Inclusion</w:t>
            </w:r>
          </w:p>
          <w:p w:rsidR="00345DC7" w:rsidRDefault="00345DC7" w:rsidP="00207CD4">
            <w:pPr>
              <w:rPr>
                <w:sz w:val="12"/>
              </w:rPr>
            </w:pPr>
            <w:r>
              <w:rPr>
                <w:sz w:val="12"/>
              </w:rPr>
              <w:t>Heidi Safia Mirza (2005) sees little genuine change in policy.  She argues that educational policies still take a ‘soft’ approach that focuses on culture and the home, rather than tackling ‘hard’ issues such as poverty and racism.</w:t>
            </w:r>
          </w:p>
          <w:p w:rsidR="00345DC7" w:rsidRPr="00BB7B1F" w:rsidRDefault="00345DC7" w:rsidP="00207CD4">
            <w:pPr>
              <w:rPr>
                <w:sz w:val="12"/>
              </w:rPr>
            </w:pPr>
            <w:r>
              <w:rPr>
                <w:sz w:val="12"/>
              </w:rPr>
              <w:t>Gillborn argues that institutionally racist policies in relation to the ethnocentric curriculum, assessment and streaming continue to disadvantage minority ethnic group pupils.</w:t>
            </w:r>
          </w:p>
        </w:tc>
      </w:tr>
    </w:tbl>
    <w:p w:rsidR="00DF7512" w:rsidRDefault="009303B3"/>
    <w:sectPr w:rsidR="00DF7512" w:rsidSect="00B054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AEF"/>
    <w:multiLevelType w:val="hybridMultilevel"/>
    <w:tmpl w:val="2DA0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C86BB2"/>
    <w:multiLevelType w:val="hybridMultilevel"/>
    <w:tmpl w:val="AC56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C13B8"/>
    <w:multiLevelType w:val="hybridMultilevel"/>
    <w:tmpl w:val="A31A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006EBF"/>
    <w:multiLevelType w:val="hybridMultilevel"/>
    <w:tmpl w:val="D9E6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2560F6"/>
    <w:multiLevelType w:val="hybridMultilevel"/>
    <w:tmpl w:val="93D4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F23577"/>
    <w:multiLevelType w:val="hybridMultilevel"/>
    <w:tmpl w:val="B5C0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E82BCB"/>
    <w:multiLevelType w:val="hybridMultilevel"/>
    <w:tmpl w:val="81BA53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770B46"/>
    <w:multiLevelType w:val="hybridMultilevel"/>
    <w:tmpl w:val="5028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4C29A7"/>
    <w:multiLevelType w:val="hybridMultilevel"/>
    <w:tmpl w:val="2EA8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2"/>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6A"/>
    <w:rsid w:val="0005665F"/>
    <w:rsid w:val="000A5593"/>
    <w:rsid w:val="001F0E42"/>
    <w:rsid w:val="0023112E"/>
    <w:rsid w:val="0029745F"/>
    <w:rsid w:val="00345DC7"/>
    <w:rsid w:val="00423C46"/>
    <w:rsid w:val="004E4BD1"/>
    <w:rsid w:val="00504D9D"/>
    <w:rsid w:val="0064595F"/>
    <w:rsid w:val="00763751"/>
    <w:rsid w:val="007E77DD"/>
    <w:rsid w:val="00817477"/>
    <w:rsid w:val="009303B3"/>
    <w:rsid w:val="00970901"/>
    <w:rsid w:val="00A62428"/>
    <w:rsid w:val="00A75B43"/>
    <w:rsid w:val="00B0546A"/>
    <w:rsid w:val="00F71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546A"/>
    <w:pPr>
      <w:ind w:left="720"/>
      <w:contextualSpacing/>
    </w:pPr>
  </w:style>
  <w:style w:type="character" w:styleId="Hyperlink">
    <w:name w:val="Hyperlink"/>
    <w:basedOn w:val="DefaultParagraphFont"/>
    <w:uiPriority w:val="99"/>
    <w:semiHidden/>
    <w:unhideWhenUsed/>
    <w:rsid w:val="00A75B43"/>
    <w:rPr>
      <w:color w:val="0000FF"/>
      <w:u w:val="single"/>
    </w:rPr>
  </w:style>
  <w:style w:type="paragraph" w:styleId="BalloonText">
    <w:name w:val="Balloon Text"/>
    <w:basedOn w:val="Normal"/>
    <w:link w:val="BalloonTextChar"/>
    <w:uiPriority w:val="99"/>
    <w:semiHidden/>
    <w:unhideWhenUsed/>
    <w:rsid w:val="00A75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546A"/>
    <w:pPr>
      <w:ind w:left="720"/>
      <w:contextualSpacing/>
    </w:pPr>
  </w:style>
  <w:style w:type="character" w:styleId="Hyperlink">
    <w:name w:val="Hyperlink"/>
    <w:basedOn w:val="DefaultParagraphFont"/>
    <w:uiPriority w:val="99"/>
    <w:semiHidden/>
    <w:unhideWhenUsed/>
    <w:rsid w:val="00A75B43"/>
    <w:rPr>
      <w:color w:val="0000FF"/>
      <w:u w:val="single"/>
    </w:rPr>
  </w:style>
  <w:style w:type="paragraph" w:styleId="BalloonText">
    <w:name w:val="Balloon Text"/>
    <w:basedOn w:val="Normal"/>
    <w:link w:val="BalloonTextChar"/>
    <w:uiPriority w:val="99"/>
    <w:semiHidden/>
    <w:unhideWhenUsed/>
    <w:rsid w:val="00A75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BANTON, Miss G (gbanton)</cp:lastModifiedBy>
  <cp:revision>13</cp:revision>
  <dcterms:created xsi:type="dcterms:W3CDTF">2016-03-10T12:46:00Z</dcterms:created>
  <dcterms:modified xsi:type="dcterms:W3CDTF">2016-03-16T10:57:00Z</dcterms:modified>
</cp:coreProperties>
</file>