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2829"/>
        <w:gridCol w:w="9756"/>
        <w:gridCol w:w="2456"/>
      </w:tblGrid>
      <w:tr w:rsidR="004B1634" w:rsidRPr="00BA2875" w:rsidTr="00BA2875">
        <w:tc>
          <w:tcPr>
            <w:tcW w:w="0" w:type="auto"/>
            <w:tcBorders>
              <w:bottom w:val="single" w:sz="4" w:space="0" w:color="000000"/>
            </w:tcBorders>
            <w:shd w:val="solid" w:color="auto" w:fill="auto"/>
          </w:tcPr>
          <w:p w:rsidR="004B1634" w:rsidRPr="00BA2875" w:rsidRDefault="004B1634" w:rsidP="00BA2875">
            <w:pPr>
              <w:ind w:right="-108"/>
              <w:rPr>
                <w:sz w:val="16"/>
                <w:szCs w:val="16"/>
              </w:rPr>
            </w:pPr>
            <w:bookmarkStart w:id="0" w:name="_GoBack"/>
            <w:bookmarkEnd w:id="0"/>
          </w:p>
        </w:tc>
        <w:tc>
          <w:tcPr>
            <w:tcW w:w="2829" w:type="dxa"/>
            <w:shd w:val="solid" w:color="auto" w:fill="auto"/>
          </w:tcPr>
          <w:p w:rsidR="004B1634" w:rsidRPr="00BA2875" w:rsidRDefault="001D54A9" w:rsidP="00BA2875">
            <w:pPr>
              <w:ind w:right="143"/>
              <w:rPr>
                <w:sz w:val="16"/>
                <w:szCs w:val="16"/>
              </w:rPr>
            </w:pPr>
            <w:r w:rsidRPr="00BA2875">
              <w:rPr>
                <w:sz w:val="16"/>
                <w:szCs w:val="16"/>
              </w:rPr>
              <w:t>Explanation</w:t>
            </w:r>
          </w:p>
        </w:tc>
        <w:tc>
          <w:tcPr>
            <w:tcW w:w="9756" w:type="dxa"/>
            <w:shd w:val="solid" w:color="auto" w:fill="auto"/>
          </w:tcPr>
          <w:p w:rsidR="004B1634" w:rsidRPr="00BA2875" w:rsidRDefault="0003547D" w:rsidP="00BA2875">
            <w:pPr>
              <w:ind w:right="143"/>
              <w:rPr>
                <w:sz w:val="16"/>
                <w:szCs w:val="16"/>
              </w:rPr>
            </w:pPr>
            <w:r w:rsidRPr="00BA2875">
              <w:rPr>
                <w:noProof/>
                <w:sz w:val="16"/>
                <w:szCs w:val="16"/>
                <w:lang w:val="en-US" w:eastAsia="zh-TW"/>
              </w:rPr>
              <mc:AlternateContent>
                <mc:Choice Requires="wps">
                  <w:drawing>
                    <wp:anchor distT="0" distB="0" distL="114300" distR="114300" simplePos="0" relativeHeight="251656192" behindDoc="0" locked="0" layoutInCell="1" allowOverlap="1">
                      <wp:simplePos x="0" y="0"/>
                      <wp:positionH relativeFrom="column">
                        <wp:posOffset>1627505</wp:posOffset>
                      </wp:positionH>
                      <wp:positionV relativeFrom="paragraph">
                        <wp:posOffset>-367665</wp:posOffset>
                      </wp:positionV>
                      <wp:extent cx="3606800" cy="33528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634" w:rsidRDefault="004B1634">
                                  <w:r>
                                    <w:t>LT</w:t>
                                  </w:r>
                                  <w:r w:rsidR="005878DA">
                                    <w:t xml:space="preserve"> 10</w:t>
                                  </w:r>
                                  <w:r>
                                    <w:t xml:space="preserve"> – RELIGION AND SOCIAL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15pt;margin-top:-28.95pt;width:284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AehQIAAA8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vkgXyxRMFGzn5/N8GUuXkOp42ljn33LdoTCpsYXK&#10;R3Syv3c+sCHV0SWy11KwtZAyLux2cyst2hNQyTp+MQAIcuomVXBWOhwbEccdIAl3BFugG6v+XGZ5&#10;kd7k5Wy9WF7MinUxn5UX6XKWZuVNuUiLsrhbfw8Es6JqBWNc3QvFjwrMir+r8KEXRu1EDaK+xuU8&#10;n48lmrJ30yDT+P0pyE54aEgpuhpDwuELTqQKhX2jWJx7IuQ4T36mH7MMOTj+Y1aiDELlRw34YTMA&#10;StDGRrMnEITVUC8oLbwiMGm1/YZRDx1ZY/d1RyzHSL5TIKoyK4rQwnFRzC9yWNipZTO1EEUBqsYe&#10;o3F668e23xkrti3cNMpY6WsQYiOiRl5YHeQLXReDObwQoa2n6+j18o6tfgAAAP//AwBQSwMEFAAG&#10;AAgAAAAhAOcDHBLeAAAACgEAAA8AAABkcnMvZG93bnJldi54bWxMj8FOg0AQhu8mvsNmTLyYdikW&#10;aJGlURON19Y+wMBOgcjuEnZb6Ns7Pelx/vnyzzfFbja9uNDoO2cVrJYRCLK1051tFBy/PxYbED6g&#10;1dg7Swqu5GFX3t8VmGs32T1dDqERXGJ9jgraEIZcSl+3ZNAv3UCWdyc3Ggw8jo3UI05cbnoZR1Eq&#10;DXaWL7Q40HtL9c/hbBScvqanZDtVn+GY7dfpG3ZZ5a5KPT7Mry8gAs3hD4abPqtDyU6VO1vtRa8g&#10;TtJnRhUskmwLgolNvOakuiUrkGUh/79Q/gIAAP//AwBQSwECLQAUAAYACAAAACEAtoM4kv4AAADh&#10;AQAAEwAAAAAAAAAAAAAAAAAAAAAAW0NvbnRlbnRfVHlwZXNdLnhtbFBLAQItABQABgAIAAAAIQA4&#10;/SH/1gAAAJQBAAALAAAAAAAAAAAAAAAAAC8BAABfcmVscy8ucmVsc1BLAQItABQABgAIAAAAIQAk&#10;ssAehQIAAA8FAAAOAAAAAAAAAAAAAAAAAC4CAABkcnMvZTJvRG9jLnhtbFBLAQItABQABgAIAAAA&#10;IQDnAxwS3gAAAAoBAAAPAAAAAAAAAAAAAAAAAN8EAABkcnMvZG93bnJldi54bWxQSwUGAAAAAAQA&#10;BADzAAAA6gUAAAAA&#10;" stroked="f">
                      <v:textbox>
                        <w:txbxContent>
                          <w:p w:rsidR="004B1634" w:rsidRDefault="004B1634">
                            <w:r>
                              <w:t>LT</w:t>
                            </w:r>
                            <w:r w:rsidR="005878DA">
                              <w:t xml:space="preserve"> 10</w:t>
                            </w:r>
                            <w:r>
                              <w:t xml:space="preserve"> – RELIGION AND SOCIAL GROUPS</w:t>
                            </w:r>
                          </w:p>
                        </w:txbxContent>
                      </v:textbox>
                    </v:shape>
                  </w:pict>
                </mc:Fallback>
              </mc:AlternateContent>
            </w:r>
            <w:r w:rsidR="001D54A9" w:rsidRPr="00BA2875">
              <w:rPr>
                <w:sz w:val="16"/>
                <w:szCs w:val="16"/>
              </w:rPr>
              <w:t>Reasons for differences</w:t>
            </w:r>
          </w:p>
        </w:tc>
        <w:tc>
          <w:tcPr>
            <w:tcW w:w="2456" w:type="dxa"/>
            <w:shd w:val="solid" w:color="auto" w:fill="auto"/>
          </w:tcPr>
          <w:p w:rsidR="004B1634" w:rsidRPr="00BA2875" w:rsidRDefault="001D54A9" w:rsidP="00BA2875">
            <w:pPr>
              <w:ind w:right="143"/>
              <w:rPr>
                <w:sz w:val="16"/>
                <w:szCs w:val="16"/>
              </w:rPr>
            </w:pPr>
            <w:r w:rsidRPr="00BA2875">
              <w:rPr>
                <w:sz w:val="16"/>
                <w:szCs w:val="16"/>
              </w:rPr>
              <w:t>However</w:t>
            </w:r>
          </w:p>
        </w:tc>
      </w:tr>
      <w:tr w:rsidR="004B1634" w:rsidRPr="00BA2875" w:rsidTr="00BA2875">
        <w:trPr>
          <w:cantSplit/>
          <w:trHeight w:val="1134"/>
        </w:trPr>
        <w:tc>
          <w:tcPr>
            <w:tcW w:w="0" w:type="auto"/>
            <w:shd w:val="clear" w:color="auto" w:fill="000000"/>
            <w:textDirection w:val="btLr"/>
          </w:tcPr>
          <w:p w:rsidR="004B1634" w:rsidRPr="00BA2875" w:rsidRDefault="001D54A9" w:rsidP="00BA2875">
            <w:pPr>
              <w:ind w:left="113" w:right="143"/>
              <w:jc w:val="center"/>
              <w:rPr>
                <w:sz w:val="16"/>
                <w:szCs w:val="16"/>
              </w:rPr>
            </w:pPr>
            <w:r w:rsidRPr="00BA2875">
              <w:rPr>
                <w:sz w:val="16"/>
                <w:szCs w:val="16"/>
              </w:rPr>
              <w:t>Gender</w:t>
            </w:r>
          </w:p>
        </w:tc>
        <w:tc>
          <w:tcPr>
            <w:tcW w:w="2829" w:type="dxa"/>
          </w:tcPr>
          <w:p w:rsidR="004B1634" w:rsidRPr="00BA2875" w:rsidRDefault="001D54A9" w:rsidP="00BA2875">
            <w:pPr>
              <w:pStyle w:val="ListParagraph"/>
              <w:numPr>
                <w:ilvl w:val="0"/>
                <w:numId w:val="4"/>
              </w:numPr>
              <w:ind w:left="420" w:right="143"/>
              <w:rPr>
                <w:sz w:val="16"/>
                <w:szCs w:val="16"/>
              </w:rPr>
            </w:pPr>
            <w:r w:rsidRPr="00BA2875">
              <w:rPr>
                <w:sz w:val="16"/>
                <w:szCs w:val="16"/>
              </w:rPr>
              <w:t xml:space="preserve">Woman are more religious than men: In 2005 1.8 million women in </w:t>
            </w:r>
            <w:smartTag w:uri="urn:schemas-microsoft-com:office:smarttags" w:element="country-region">
              <w:smartTag w:uri="urn:schemas-microsoft-com:office:smarttags" w:element="place">
                <w:r w:rsidRPr="00BA2875">
                  <w:rPr>
                    <w:sz w:val="16"/>
                    <w:szCs w:val="16"/>
                  </w:rPr>
                  <w:t>England</w:t>
                </w:r>
              </w:smartTag>
            </w:smartTag>
            <w:r w:rsidRPr="00BA2875">
              <w:rPr>
                <w:sz w:val="16"/>
                <w:szCs w:val="16"/>
              </w:rPr>
              <w:t xml:space="preserve"> were churchgoers, against only 1.36 million men</w:t>
            </w:r>
          </w:p>
          <w:p w:rsidR="001D54A9" w:rsidRPr="00BA2875" w:rsidRDefault="001D54A9" w:rsidP="00BA2875">
            <w:pPr>
              <w:pStyle w:val="ListParagraph"/>
              <w:numPr>
                <w:ilvl w:val="0"/>
                <w:numId w:val="4"/>
              </w:numPr>
              <w:ind w:left="420" w:right="143"/>
              <w:rPr>
                <w:sz w:val="16"/>
                <w:szCs w:val="16"/>
              </w:rPr>
            </w:pPr>
            <w:r w:rsidRPr="00BA2875">
              <w:rPr>
                <w:sz w:val="16"/>
                <w:szCs w:val="16"/>
              </w:rPr>
              <w:t>Miller and Hoffman (1995) found women express a greater interest in religion, have stronger personal commitment and attend church more.</w:t>
            </w:r>
          </w:p>
          <w:p w:rsidR="001D54A9" w:rsidRPr="00BA2875" w:rsidRDefault="001D54A9" w:rsidP="00BA2875">
            <w:pPr>
              <w:pStyle w:val="ListParagraph"/>
              <w:numPr>
                <w:ilvl w:val="0"/>
                <w:numId w:val="4"/>
              </w:numPr>
              <w:ind w:left="420" w:right="77"/>
              <w:rPr>
                <w:sz w:val="16"/>
                <w:szCs w:val="16"/>
              </w:rPr>
            </w:pPr>
            <w:r w:rsidRPr="00BA2875">
              <w:rPr>
                <w:sz w:val="16"/>
                <w:szCs w:val="16"/>
              </w:rPr>
              <w:t>Bruce estimates 80% of the participation of NRMs are female</w:t>
            </w:r>
          </w:p>
        </w:tc>
        <w:tc>
          <w:tcPr>
            <w:tcW w:w="9756" w:type="dxa"/>
          </w:tcPr>
          <w:p w:rsidR="004B1634" w:rsidRPr="00BA2875" w:rsidRDefault="0003547D" w:rsidP="00BA2875">
            <w:pPr>
              <w:ind w:right="143"/>
              <w:rPr>
                <w:b/>
                <w:sz w:val="16"/>
                <w:szCs w:val="16"/>
              </w:rPr>
            </w:pPr>
            <w:r>
              <w:rPr>
                <w:b/>
                <w:noProof/>
                <w:sz w:val="16"/>
                <w:szCs w:val="16"/>
              </w:rPr>
              <w:drawing>
                <wp:anchor distT="0" distB="0" distL="114300" distR="114300" simplePos="0" relativeHeight="251659264" behindDoc="1" locked="0" layoutInCell="1" allowOverlap="1">
                  <wp:simplePos x="0" y="0"/>
                  <wp:positionH relativeFrom="column">
                    <wp:posOffset>4705350</wp:posOffset>
                  </wp:positionH>
                  <wp:positionV relativeFrom="paragraph">
                    <wp:posOffset>20320</wp:posOffset>
                  </wp:positionV>
                  <wp:extent cx="1379855" cy="2032635"/>
                  <wp:effectExtent l="19050" t="19050" r="0" b="5715"/>
                  <wp:wrapTight wrapText="bothSides">
                    <wp:wrapPolygon edited="0">
                      <wp:start x="-298" y="-202"/>
                      <wp:lineTo x="-298" y="21661"/>
                      <wp:lineTo x="21471" y="21661"/>
                      <wp:lineTo x="21471" y="-202"/>
                      <wp:lineTo x="-298" y="-202"/>
                    </wp:wrapPolygon>
                  </wp:wrapTight>
                  <wp:docPr id="6" name="Picture 7" descr="http://www.sirimo.co.uk/media/beautiful_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rimo.co.uk/media/beautiful_wom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855" cy="2032635"/>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001D54A9" w:rsidRPr="00BA2875">
              <w:rPr>
                <w:b/>
                <w:sz w:val="16"/>
                <w:szCs w:val="16"/>
              </w:rPr>
              <w:t>Socialisation and gender role:</w:t>
            </w:r>
          </w:p>
          <w:p w:rsidR="001D54A9" w:rsidRPr="00BA2875" w:rsidRDefault="001D54A9" w:rsidP="00BA2875">
            <w:pPr>
              <w:pStyle w:val="ListParagraph"/>
              <w:numPr>
                <w:ilvl w:val="0"/>
                <w:numId w:val="1"/>
              </w:numPr>
              <w:ind w:left="420" w:right="143"/>
              <w:rPr>
                <w:sz w:val="16"/>
                <w:szCs w:val="16"/>
              </w:rPr>
            </w:pPr>
            <w:r w:rsidRPr="00BA2875">
              <w:rPr>
                <w:sz w:val="16"/>
                <w:szCs w:val="16"/>
              </w:rPr>
              <w:t>Miller and Hoffman (1995) argue that women are taught to be more passive obedient and caring.  These are qualities that religion values it therefore follows that women will be more religious.</w:t>
            </w:r>
          </w:p>
          <w:p w:rsidR="001D54A9" w:rsidRPr="00BA2875" w:rsidRDefault="001D54A9" w:rsidP="00BA2875">
            <w:pPr>
              <w:pStyle w:val="ListParagraph"/>
              <w:numPr>
                <w:ilvl w:val="0"/>
                <w:numId w:val="1"/>
              </w:numPr>
              <w:ind w:left="420" w:right="143"/>
              <w:rPr>
                <w:sz w:val="16"/>
                <w:szCs w:val="16"/>
              </w:rPr>
            </w:pPr>
            <w:r w:rsidRPr="00BA2875">
              <w:rPr>
                <w:sz w:val="16"/>
                <w:szCs w:val="16"/>
              </w:rPr>
              <w:t>Miller and Hoffman (1995) also argue that women are more likely to work part time and so are more able to organise their time around church activities</w:t>
            </w:r>
          </w:p>
          <w:p w:rsidR="001D54A9" w:rsidRPr="00BA2875" w:rsidRDefault="001D54A9" w:rsidP="00BA2875">
            <w:pPr>
              <w:pStyle w:val="ListParagraph"/>
              <w:numPr>
                <w:ilvl w:val="0"/>
                <w:numId w:val="1"/>
              </w:numPr>
              <w:ind w:left="420" w:right="143"/>
              <w:rPr>
                <w:sz w:val="16"/>
                <w:szCs w:val="16"/>
              </w:rPr>
            </w:pPr>
            <w:smartTag w:uri="urn:schemas-microsoft-com:office:smarttags" w:element="City">
              <w:smartTag w:uri="urn:schemas-microsoft-com:office:smarttags" w:element="place">
                <w:r w:rsidRPr="00BA2875">
                  <w:rPr>
                    <w:sz w:val="16"/>
                    <w:szCs w:val="16"/>
                  </w:rPr>
                  <w:t>Davie</w:t>
                </w:r>
              </w:smartTag>
            </w:smartTag>
            <w:r w:rsidRPr="00BA2875">
              <w:rPr>
                <w:sz w:val="16"/>
                <w:szCs w:val="16"/>
              </w:rPr>
              <w:t xml:space="preserve"> argues that women are closer key human questions concerning birth and death and are therefore more in need of religion explanations</w:t>
            </w:r>
          </w:p>
          <w:p w:rsidR="000901F1" w:rsidRPr="00BA2875" w:rsidRDefault="000901F1" w:rsidP="00BA2875">
            <w:pPr>
              <w:ind w:right="143"/>
              <w:rPr>
                <w:b/>
                <w:sz w:val="16"/>
                <w:szCs w:val="16"/>
              </w:rPr>
            </w:pPr>
            <w:r w:rsidRPr="00BA2875">
              <w:rPr>
                <w:b/>
                <w:sz w:val="16"/>
                <w:szCs w:val="16"/>
              </w:rPr>
              <w:t>Women and the new age:</w:t>
            </w:r>
          </w:p>
          <w:p w:rsidR="000901F1" w:rsidRPr="00BA2875" w:rsidRDefault="000901F1" w:rsidP="00BA2875">
            <w:pPr>
              <w:pStyle w:val="ListParagraph"/>
              <w:numPr>
                <w:ilvl w:val="0"/>
                <w:numId w:val="1"/>
              </w:numPr>
              <w:ind w:left="420" w:right="143"/>
              <w:rPr>
                <w:sz w:val="16"/>
                <w:szCs w:val="16"/>
              </w:rPr>
            </w:pPr>
            <w:r w:rsidRPr="00BA2875">
              <w:rPr>
                <w:sz w:val="16"/>
                <w:szCs w:val="16"/>
              </w:rPr>
              <w:t>Women are attracted to new age movements because they are more in tune with nature and healing.  These characteristics of women mean they are more likely to join NRMs.</w:t>
            </w:r>
          </w:p>
          <w:p w:rsidR="000901F1" w:rsidRPr="00BA2875" w:rsidRDefault="000901F1" w:rsidP="00BA2875">
            <w:pPr>
              <w:ind w:right="143"/>
              <w:rPr>
                <w:b/>
                <w:sz w:val="16"/>
                <w:szCs w:val="16"/>
              </w:rPr>
            </w:pPr>
            <w:r w:rsidRPr="00BA2875">
              <w:rPr>
                <w:b/>
                <w:sz w:val="16"/>
                <w:szCs w:val="16"/>
              </w:rPr>
              <w:t>Compensation for deprivation:</w:t>
            </w:r>
          </w:p>
          <w:p w:rsidR="000901F1" w:rsidRPr="00BA2875" w:rsidRDefault="000901F1" w:rsidP="00BA2875">
            <w:pPr>
              <w:pStyle w:val="ListParagraph"/>
              <w:numPr>
                <w:ilvl w:val="0"/>
                <w:numId w:val="1"/>
              </w:numPr>
              <w:ind w:left="420" w:right="143"/>
              <w:rPr>
                <w:sz w:val="16"/>
                <w:szCs w:val="16"/>
              </w:rPr>
            </w:pPr>
            <w:r w:rsidRPr="00BA2875">
              <w:rPr>
                <w:sz w:val="16"/>
                <w:szCs w:val="16"/>
              </w:rPr>
              <w:t xml:space="preserve">Women are more likely to suffer </w:t>
            </w:r>
            <w:r w:rsidRPr="00BA2875">
              <w:rPr>
                <w:b/>
                <w:sz w:val="16"/>
                <w:szCs w:val="16"/>
              </w:rPr>
              <w:t>organismic deprivation</w:t>
            </w:r>
            <w:r w:rsidRPr="00BA2875">
              <w:rPr>
                <w:sz w:val="16"/>
                <w:szCs w:val="16"/>
              </w:rPr>
              <w:t>, meaning they are more likely to have mental health issues and seek healing through religion.</w:t>
            </w:r>
            <w:r w:rsidR="007C76D7" w:rsidRPr="00BA2875">
              <w:rPr>
                <w:sz w:val="16"/>
                <w:szCs w:val="16"/>
              </w:rPr>
              <w:t xml:space="preserve"> </w:t>
            </w:r>
          </w:p>
          <w:p w:rsidR="000901F1" w:rsidRPr="00BA2875" w:rsidRDefault="000901F1" w:rsidP="00BA2875">
            <w:pPr>
              <w:pStyle w:val="ListParagraph"/>
              <w:numPr>
                <w:ilvl w:val="0"/>
                <w:numId w:val="1"/>
              </w:numPr>
              <w:ind w:left="420" w:right="143"/>
              <w:rPr>
                <w:sz w:val="16"/>
                <w:szCs w:val="16"/>
              </w:rPr>
            </w:pPr>
            <w:r w:rsidRPr="00BA2875">
              <w:rPr>
                <w:sz w:val="16"/>
                <w:szCs w:val="16"/>
              </w:rPr>
              <w:t xml:space="preserve">Women are more likely to be </w:t>
            </w:r>
            <w:r w:rsidRPr="00BA2875">
              <w:rPr>
                <w:b/>
                <w:sz w:val="16"/>
                <w:szCs w:val="16"/>
              </w:rPr>
              <w:t>ethically deprived</w:t>
            </w:r>
            <w:r w:rsidRPr="00BA2875">
              <w:rPr>
                <w:sz w:val="16"/>
                <w:szCs w:val="16"/>
              </w:rPr>
              <w:t xml:space="preserve">, meaning they are more likely to </w:t>
            </w:r>
            <w:r w:rsidR="00252EA6" w:rsidRPr="00BA2875">
              <w:rPr>
                <w:sz w:val="16"/>
                <w:szCs w:val="16"/>
              </w:rPr>
              <w:t>be morally conservative and see the world in moral decline.</w:t>
            </w:r>
            <w:r w:rsidR="00A1298A" w:rsidRPr="00BA2875">
              <w:rPr>
                <w:sz w:val="16"/>
                <w:szCs w:val="16"/>
              </w:rPr>
              <w:t xml:space="preserve"> </w:t>
            </w:r>
          </w:p>
          <w:p w:rsidR="00252EA6" w:rsidRPr="00BA2875" w:rsidRDefault="00252EA6" w:rsidP="00BA2875">
            <w:pPr>
              <w:pStyle w:val="ListParagraph"/>
              <w:numPr>
                <w:ilvl w:val="0"/>
                <w:numId w:val="1"/>
              </w:numPr>
              <w:ind w:left="420" w:right="143"/>
              <w:rPr>
                <w:sz w:val="16"/>
                <w:szCs w:val="16"/>
              </w:rPr>
            </w:pPr>
            <w:r w:rsidRPr="00BA2875">
              <w:rPr>
                <w:sz w:val="16"/>
                <w:szCs w:val="16"/>
              </w:rPr>
              <w:t xml:space="preserve">Women are more likely to be </w:t>
            </w:r>
            <w:r w:rsidRPr="00BA2875">
              <w:rPr>
                <w:b/>
                <w:sz w:val="16"/>
                <w:szCs w:val="16"/>
              </w:rPr>
              <w:t>socially deprived</w:t>
            </w:r>
            <w:r w:rsidRPr="00BA2875">
              <w:rPr>
                <w:sz w:val="16"/>
                <w:szCs w:val="16"/>
              </w:rPr>
              <w:t xml:space="preserve">, meaning women are more likely to be poor and look to religion for explanations of their poverty.  </w:t>
            </w:r>
          </w:p>
        </w:tc>
        <w:tc>
          <w:tcPr>
            <w:tcW w:w="2456" w:type="dxa"/>
          </w:tcPr>
          <w:p w:rsidR="00537FAD" w:rsidRPr="00BA2875" w:rsidRDefault="00537FAD" w:rsidP="00BA2875">
            <w:pPr>
              <w:pStyle w:val="ListParagraph"/>
              <w:numPr>
                <w:ilvl w:val="0"/>
                <w:numId w:val="3"/>
              </w:numPr>
              <w:ind w:left="420" w:right="143"/>
              <w:rPr>
                <w:sz w:val="16"/>
                <w:szCs w:val="16"/>
              </w:rPr>
            </w:pPr>
            <w:r w:rsidRPr="00BA2875">
              <w:rPr>
                <w:sz w:val="16"/>
                <w:szCs w:val="16"/>
              </w:rPr>
              <w:t>Secularisation suggests that religion is becoming less influential in people’s lives.  Brierley (2005) suggests that women are leaving the church at a much quicker rate then men.</w:t>
            </w:r>
          </w:p>
          <w:p w:rsidR="004B1634" w:rsidRPr="00BA2875" w:rsidRDefault="00537FAD" w:rsidP="00BA2875">
            <w:pPr>
              <w:pStyle w:val="ListParagraph"/>
              <w:numPr>
                <w:ilvl w:val="0"/>
                <w:numId w:val="3"/>
              </w:numPr>
              <w:ind w:left="420" w:right="143"/>
              <w:rPr>
                <w:sz w:val="16"/>
                <w:szCs w:val="16"/>
              </w:rPr>
            </w:pPr>
            <w:r w:rsidRPr="00BA2875">
              <w:rPr>
                <w:sz w:val="16"/>
                <w:szCs w:val="16"/>
              </w:rPr>
              <w:t xml:space="preserve">Women are increasingly able to reject traditional feminine values and make their own </w:t>
            </w:r>
            <w:r w:rsidR="00D57CD6" w:rsidRPr="00BA2875">
              <w:rPr>
                <w:sz w:val="16"/>
                <w:szCs w:val="16"/>
              </w:rPr>
              <w:t>choices;</w:t>
            </w:r>
            <w:r w:rsidRPr="00BA2875">
              <w:rPr>
                <w:sz w:val="16"/>
                <w:szCs w:val="16"/>
              </w:rPr>
              <w:t xml:space="preserve"> this would clearly reduce the power of religion over women. </w:t>
            </w:r>
          </w:p>
        </w:tc>
      </w:tr>
      <w:tr w:rsidR="00664EDC" w:rsidRPr="00BA2875" w:rsidTr="00BA2875">
        <w:trPr>
          <w:cantSplit/>
          <w:trHeight w:val="1134"/>
        </w:trPr>
        <w:tc>
          <w:tcPr>
            <w:tcW w:w="0" w:type="auto"/>
            <w:shd w:val="clear" w:color="auto" w:fill="000000"/>
            <w:textDirection w:val="btLr"/>
          </w:tcPr>
          <w:p w:rsidR="00664EDC" w:rsidRPr="00BA2875" w:rsidRDefault="00664EDC" w:rsidP="00BA2875">
            <w:pPr>
              <w:ind w:left="113" w:right="143"/>
              <w:jc w:val="center"/>
              <w:rPr>
                <w:sz w:val="16"/>
                <w:szCs w:val="16"/>
              </w:rPr>
            </w:pPr>
            <w:r w:rsidRPr="00BA2875">
              <w:rPr>
                <w:sz w:val="16"/>
                <w:szCs w:val="16"/>
              </w:rPr>
              <w:t>Ethnicity</w:t>
            </w:r>
          </w:p>
        </w:tc>
        <w:tc>
          <w:tcPr>
            <w:tcW w:w="2829" w:type="dxa"/>
          </w:tcPr>
          <w:p w:rsidR="00664EDC" w:rsidRPr="00BA2875" w:rsidRDefault="00EF35F3" w:rsidP="00BA2875">
            <w:pPr>
              <w:pStyle w:val="ListParagraph"/>
              <w:numPr>
                <w:ilvl w:val="0"/>
                <w:numId w:val="5"/>
              </w:numPr>
              <w:ind w:left="453" w:right="77"/>
              <w:rPr>
                <w:sz w:val="16"/>
                <w:szCs w:val="16"/>
              </w:rPr>
            </w:pPr>
            <w:r w:rsidRPr="00BA2875">
              <w:rPr>
                <w:sz w:val="16"/>
                <w:szCs w:val="16"/>
              </w:rPr>
              <w:t>There is higher than average participation in most minority ethnic groups.  Muslims, Hindus and non-white Christians are much more likely to see religion as important.</w:t>
            </w:r>
          </w:p>
          <w:p w:rsidR="00EF35F3" w:rsidRPr="00BA2875" w:rsidRDefault="00EF35F3" w:rsidP="00BA2875">
            <w:pPr>
              <w:pStyle w:val="ListParagraph"/>
              <w:numPr>
                <w:ilvl w:val="0"/>
                <w:numId w:val="5"/>
              </w:numPr>
              <w:ind w:left="453" w:right="77"/>
              <w:rPr>
                <w:sz w:val="16"/>
                <w:szCs w:val="16"/>
              </w:rPr>
            </w:pPr>
            <w:r w:rsidRPr="00BA2875">
              <w:rPr>
                <w:sz w:val="16"/>
                <w:szCs w:val="16"/>
              </w:rPr>
              <w:t>Modood (1994) did find examples of lower observance in the second generation of immigrants</w:t>
            </w:r>
          </w:p>
          <w:p w:rsidR="00EF35F3" w:rsidRPr="00BA2875" w:rsidRDefault="00EF35F3" w:rsidP="00BA2875">
            <w:pPr>
              <w:pStyle w:val="ListParagraph"/>
              <w:numPr>
                <w:ilvl w:val="0"/>
                <w:numId w:val="5"/>
              </w:numPr>
              <w:ind w:left="453" w:right="77"/>
              <w:rPr>
                <w:sz w:val="16"/>
                <w:szCs w:val="16"/>
              </w:rPr>
            </w:pPr>
            <w:r w:rsidRPr="00BA2875">
              <w:rPr>
                <w:sz w:val="16"/>
                <w:szCs w:val="16"/>
              </w:rPr>
              <w:t>11% of white Anglicans see religion as being important in their lives opposed to 74% of Muslims.</w:t>
            </w:r>
          </w:p>
        </w:tc>
        <w:tc>
          <w:tcPr>
            <w:tcW w:w="9756" w:type="dxa"/>
          </w:tcPr>
          <w:p w:rsidR="00664EDC" w:rsidRPr="00BA2875" w:rsidRDefault="00EF35F3" w:rsidP="00BA2875">
            <w:pPr>
              <w:ind w:right="143"/>
              <w:rPr>
                <w:b/>
                <w:sz w:val="16"/>
                <w:szCs w:val="16"/>
              </w:rPr>
            </w:pPr>
            <w:r w:rsidRPr="00BA2875">
              <w:rPr>
                <w:b/>
                <w:sz w:val="16"/>
                <w:szCs w:val="16"/>
              </w:rPr>
              <w:t>Cultural defence:</w:t>
            </w:r>
          </w:p>
          <w:p w:rsidR="00EF35F3" w:rsidRPr="00BA2875" w:rsidRDefault="00EF35F3" w:rsidP="00BA2875">
            <w:pPr>
              <w:pStyle w:val="ListParagraph"/>
              <w:numPr>
                <w:ilvl w:val="0"/>
                <w:numId w:val="6"/>
              </w:numPr>
              <w:ind w:left="459" w:right="143"/>
              <w:rPr>
                <w:sz w:val="16"/>
                <w:szCs w:val="16"/>
              </w:rPr>
            </w:pPr>
            <w:r w:rsidRPr="00BA2875">
              <w:rPr>
                <w:sz w:val="16"/>
                <w:szCs w:val="16"/>
              </w:rPr>
              <w:t>Bruce argues that religion operates as a sense of cultural identity in a</w:t>
            </w:r>
            <w:r w:rsidR="007C76D7" w:rsidRPr="00BA2875">
              <w:rPr>
                <w:sz w:val="16"/>
                <w:szCs w:val="16"/>
              </w:rPr>
              <w:t>n</w:t>
            </w:r>
            <w:r w:rsidR="009829FC" w:rsidRPr="00BA2875">
              <w:rPr>
                <w:sz w:val="16"/>
                <w:szCs w:val="16"/>
              </w:rPr>
              <w:t xml:space="preserve"> uncertain and hostile environment.  Religion becomes a basis for community solidarity that preserves culture and language.  For example Pentecostalism was founded as</w:t>
            </w:r>
            <w:r w:rsidR="00CE4D4E" w:rsidRPr="00BA2875">
              <w:rPr>
                <w:sz w:val="16"/>
                <w:szCs w:val="16"/>
              </w:rPr>
              <w:t xml:space="preserve"> a</w:t>
            </w:r>
            <w:r w:rsidR="009829FC" w:rsidRPr="00BA2875">
              <w:rPr>
                <w:sz w:val="16"/>
                <w:szCs w:val="16"/>
              </w:rPr>
              <w:t xml:space="preserve"> result of the racism young Afro-Caribbean immigrants in the mid sixties.</w:t>
            </w:r>
          </w:p>
          <w:p w:rsidR="009829FC" w:rsidRPr="00BA2875" w:rsidRDefault="009829FC" w:rsidP="00BA2875">
            <w:pPr>
              <w:ind w:right="143"/>
              <w:rPr>
                <w:b/>
                <w:sz w:val="16"/>
                <w:szCs w:val="16"/>
              </w:rPr>
            </w:pPr>
            <w:r w:rsidRPr="00BA2875">
              <w:rPr>
                <w:b/>
                <w:sz w:val="16"/>
                <w:szCs w:val="16"/>
              </w:rPr>
              <w:t>Cultural transition:</w:t>
            </w:r>
          </w:p>
          <w:p w:rsidR="009829FC" w:rsidRPr="00BA2875" w:rsidRDefault="009829FC" w:rsidP="00BA2875">
            <w:pPr>
              <w:pStyle w:val="ListParagraph"/>
              <w:numPr>
                <w:ilvl w:val="0"/>
                <w:numId w:val="6"/>
              </w:numPr>
              <w:ind w:left="459" w:right="143"/>
              <w:rPr>
                <w:sz w:val="16"/>
                <w:szCs w:val="16"/>
              </w:rPr>
            </w:pPr>
            <w:r w:rsidRPr="00BA2875">
              <w:rPr>
                <w:sz w:val="16"/>
                <w:szCs w:val="16"/>
              </w:rPr>
              <w:t xml:space="preserve">Religion can help to ease the transitions between cultures at times of immigration.  Herberg argues that the high levels of religious participation in the </w:t>
            </w:r>
            <w:smartTag w:uri="urn:schemas-microsoft-com:office:smarttags" w:element="country-region">
              <w:smartTag w:uri="urn:schemas-microsoft-com:office:smarttags" w:element="place">
                <w:r w:rsidRPr="00BA2875">
                  <w:rPr>
                    <w:sz w:val="16"/>
                    <w:szCs w:val="16"/>
                  </w:rPr>
                  <w:t>USA</w:t>
                </w:r>
              </w:smartTag>
            </w:smartTag>
            <w:r w:rsidRPr="00BA2875">
              <w:rPr>
                <w:sz w:val="16"/>
                <w:szCs w:val="16"/>
              </w:rPr>
              <w:t xml:space="preserve"> are a result of its ‘cultural melting pot’ origins.  Bruce founds similar </w:t>
            </w:r>
            <w:r w:rsidR="006B5C0D" w:rsidRPr="00BA2875">
              <w:rPr>
                <w:sz w:val="16"/>
                <w:szCs w:val="16"/>
              </w:rPr>
              <w:t xml:space="preserve">story among the communities in the </w:t>
            </w:r>
            <w:smartTag w:uri="urn:schemas-microsoft-com:office:smarttags" w:element="country-region">
              <w:smartTag w:uri="urn:schemas-microsoft-com:office:smarttags" w:element="place">
                <w:r w:rsidR="006B5C0D" w:rsidRPr="00BA2875">
                  <w:rPr>
                    <w:sz w:val="16"/>
                    <w:szCs w:val="16"/>
                  </w:rPr>
                  <w:t>UK</w:t>
                </w:r>
              </w:smartTag>
            </w:smartTag>
          </w:p>
          <w:p w:rsidR="009829FC" w:rsidRDefault="0003547D" w:rsidP="00BA2875">
            <w:pPr>
              <w:pStyle w:val="ListParagraph"/>
              <w:numPr>
                <w:ilvl w:val="0"/>
                <w:numId w:val="6"/>
              </w:numPr>
              <w:ind w:left="459" w:right="143"/>
              <w:rPr>
                <w:sz w:val="16"/>
                <w:szCs w:val="16"/>
              </w:rPr>
            </w:pPr>
            <w:r>
              <w:rPr>
                <w:noProof/>
                <w:sz w:val="16"/>
                <w:szCs w:val="16"/>
              </w:rPr>
              <w:drawing>
                <wp:anchor distT="0" distB="0" distL="114300" distR="114300" simplePos="0" relativeHeight="251657216" behindDoc="1" locked="0" layoutInCell="1" allowOverlap="1">
                  <wp:simplePos x="0" y="0"/>
                  <wp:positionH relativeFrom="column">
                    <wp:posOffset>4705350</wp:posOffset>
                  </wp:positionH>
                  <wp:positionV relativeFrom="paragraph">
                    <wp:posOffset>-804545</wp:posOffset>
                  </wp:positionV>
                  <wp:extent cx="1359535" cy="1682115"/>
                  <wp:effectExtent l="19050" t="19050" r="0" b="0"/>
                  <wp:wrapTight wrapText="bothSides">
                    <wp:wrapPolygon edited="0">
                      <wp:start x="-303" y="-245"/>
                      <wp:lineTo x="-303" y="21527"/>
                      <wp:lineTo x="21489" y="21527"/>
                      <wp:lineTo x="21489" y="-245"/>
                      <wp:lineTo x="-303" y="-245"/>
                    </wp:wrapPolygon>
                  </wp:wrapTight>
                  <wp:docPr id="5" name="Picture 4" descr="http://www.cnn.com/WORLD/maps/india.new.del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nn.com/WORLD/maps/india.new.delh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535" cy="1682115"/>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006B5C0D" w:rsidRPr="00BA2875">
              <w:rPr>
                <w:sz w:val="16"/>
                <w:szCs w:val="16"/>
              </w:rPr>
              <w:t xml:space="preserve">Pryce’s (1979) work supports the idea that Pentecostalism acts to aid cultural transition </w:t>
            </w:r>
            <w:r w:rsidR="00072F4F" w:rsidRPr="00BA2875">
              <w:rPr>
                <w:sz w:val="16"/>
                <w:szCs w:val="16"/>
              </w:rPr>
              <w:t>by encouraging self reliance and thrift.</w:t>
            </w:r>
            <w:r w:rsidR="009829FC" w:rsidRPr="00BA2875">
              <w:rPr>
                <w:sz w:val="16"/>
                <w:szCs w:val="16"/>
              </w:rPr>
              <w:t xml:space="preserve"> </w:t>
            </w:r>
          </w:p>
          <w:p w:rsidR="002B4007" w:rsidRDefault="002B4007" w:rsidP="002B4007">
            <w:pPr>
              <w:pStyle w:val="ListParagraph"/>
              <w:ind w:left="0" w:right="143"/>
              <w:rPr>
                <w:sz w:val="16"/>
                <w:szCs w:val="16"/>
              </w:rPr>
            </w:pPr>
            <w:r>
              <w:rPr>
                <w:sz w:val="16"/>
                <w:szCs w:val="16"/>
              </w:rPr>
              <w:t>Their  Culture of Origin:</w:t>
            </w:r>
          </w:p>
          <w:p w:rsidR="002B4007" w:rsidRPr="00BA2875" w:rsidRDefault="002B4007" w:rsidP="002B4007">
            <w:pPr>
              <w:pStyle w:val="ListParagraph"/>
              <w:numPr>
                <w:ilvl w:val="0"/>
                <w:numId w:val="12"/>
              </w:numPr>
              <w:tabs>
                <w:tab w:val="clear" w:pos="720"/>
                <w:tab w:val="num" w:pos="474"/>
              </w:tabs>
              <w:ind w:left="474" w:right="143" w:hanging="330"/>
              <w:rPr>
                <w:sz w:val="16"/>
                <w:szCs w:val="16"/>
              </w:rPr>
            </w:pPr>
            <w:r>
              <w:rPr>
                <w:sz w:val="16"/>
                <w:szCs w:val="16"/>
              </w:rPr>
              <w:t xml:space="preserve">Ethnic minroties originate from poorer countries with traditional cultures, both of which produce higher levels of religiosity. On arrival to the </w:t>
            </w:r>
            <w:smartTag w:uri="urn:schemas-microsoft-com:office:smarttags" w:element="country-region">
              <w:smartTag w:uri="urn:schemas-microsoft-com:office:smarttags" w:element="place">
                <w:r>
                  <w:rPr>
                    <w:sz w:val="16"/>
                    <w:szCs w:val="16"/>
                  </w:rPr>
                  <w:t>UK</w:t>
                </w:r>
              </w:smartTag>
            </w:smartTag>
            <w:r>
              <w:rPr>
                <w:sz w:val="16"/>
                <w:szCs w:val="16"/>
              </w:rPr>
              <w:t>, their children maintain the pattern they broguth with them.</w:t>
            </w:r>
          </w:p>
        </w:tc>
        <w:tc>
          <w:tcPr>
            <w:tcW w:w="2456" w:type="dxa"/>
          </w:tcPr>
          <w:p w:rsidR="00072F4F" w:rsidRPr="00BA2875" w:rsidRDefault="00072F4F" w:rsidP="00BA2875">
            <w:pPr>
              <w:pStyle w:val="ListParagraph"/>
              <w:numPr>
                <w:ilvl w:val="0"/>
                <w:numId w:val="7"/>
              </w:numPr>
              <w:ind w:left="459" w:right="143"/>
              <w:rPr>
                <w:sz w:val="16"/>
                <w:szCs w:val="16"/>
              </w:rPr>
            </w:pPr>
            <w:r w:rsidRPr="00BA2875">
              <w:rPr>
                <w:sz w:val="16"/>
                <w:szCs w:val="16"/>
              </w:rPr>
              <w:t>Secularisation suggests that religion is becoming less influential in people’s lives.  Modood suggests that that religious observance decreases with every generation</w:t>
            </w:r>
          </w:p>
          <w:p w:rsidR="00072F4F" w:rsidRPr="00BA2875" w:rsidRDefault="00072F4F" w:rsidP="00BA2875">
            <w:pPr>
              <w:pStyle w:val="ListParagraph"/>
              <w:numPr>
                <w:ilvl w:val="0"/>
                <w:numId w:val="7"/>
              </w:numPr>
              <w:ind w:left="459" w:right="143"/>
              <w:rPr>
                <w:sz w:val="16"/>
                <w:szCs w:val="16"/>
              </w:rPr>
            </w:pPr>
            <w:r w:rsidRPr="00BA2875">
              <w:rPr>
                <w:sz w:val="16"/>
                <w:szCs w:val="16"/>
              </w:rPr>
              <w:t>Rather than helping young ethnic minorities fit within society religion might be used as a rejection of the host society.</w:t>
            </w:r>
          </w:p>
          <w:p w:rsidR="00664EDC" w:rsidRPr="00BA2875" w:rsidRDefault="00664EDC" w:rsidP="00BA2875">
            <w:pPr>
              <w:ind w:right="143"/>
              <w:rPr>
                <w:sz w:val="16"/>
                <w:szCs w:val="16"/>
              </w:rPr>
            </w:pPr>
          </w:p>
        </w:tc>
      </w:tr>
      <w:tr w:rsidR="002B620B" w:rsidRPr="00BA2875" w:rsidTr="00BA2875">
        <w:trPr>
          <w:cantSplit/>
          <w:trHeight w:val="1134"/>
        </w:trPr>
        <w:tc>
          <w:tcPr>
            <w:tcW w:w="0" w:type="auto"/>
            <w:shd w:val="clear" w:color="auto" w:fill="000000"/>
            <w:textDirection w:val="btLr"/>
          </w:tcPr>
          <w:p w:rsidR="002B620B" w:rsidRPr="00BA2875" w:rsidRDefault="002B620B" w:rsidP="00BA2875">
            <w:pPr>
              <w:ind w:left="113" w:right="143"/>
              <w:jc w:val="center"/>
              <w:rPr>
                <w:sz w:val="16"/>
                <w:szCs w:val="16"/>
              </w:rPr>
            </w:pPr>
            <w:r w:rsidRPr="00BA2875">
              <w:rPr>
                <w:sz w:val="16"/>
                <w:szCs w:val="16"/>
              </w:rPr>
              <w:t>Age</w:t>
            </w:r>
          </w:p>
        </w:tc>
        <w:tc>
          <w:tcPr>
            <w:tcW w:w="2829" w:type="dxa"/>
          </w:tcPr>
          <w:p w:rsidR="008062BA" w:rsidRPr="00BA2875" w:rsidRDefault="008062BA" w:rsidP="00BA2875">
            <w:pPr>
              <w:pStyle w:val="ListParagraph"/>
              <w:numPr>
                <w:ilvl w:val="0"/>
                <w:numId w:val="8"/>
              </w:numPr>
              <w:ind w:left="453" w:right="77"/>
              <w:rPr>
                <w:sz w:val="16"/>
                <w:szCs w:val="16"/>
              </w:rPr>
            </w:pPr>
            <w:r w:rsidRPr="00BA2875">
              <w:rPr>
                <w:sz w:val="16"/>
                <w:szCs w:val="16"/>
              </w:rPr>
              <w:t>Not including children and the elderly, the older that people are the more likely they are to attend church</w:t>
            </w:r>
          </w:p>
          <w:p w:rsidR="008062BA" w:rsidRPr="00BA2875" w:rsidRDefault="008062BA" w:rsidP="00BA2875">
            <w:pPr>
              <w:pStyle w:val="ListParagraph"/>
              <w:numPr>
                <w:ilvl w:val="0"/>
                <w:numId w:val="8"/>
              </w:numPr>
              <w:ind w:left="453" w:right="77"/>
              <w:rPr>
                <w:sz w:val="16"/>
                <w:szCs w:val="16"/>
              </w:rPr>
            </w:pPr>
            <w:r w:rsidRPr="00BA2875">
              <w:rPr>
                <w:sz w:val="16"/>
                <w:szCs w:val="16"/>
              </w:rPr>
              <w:t>The under 15s are more likely to go to church because they are taken by parents</w:t>
            </w:r>
          </w:p>
          <w:p w:rsidR="008062BA" w:rsidRPr="00BA2875" w:rsidRDefault="008062BA" w:rsidP="00BA2875">
            <w:pPr>
              <w:pStyle w:val="ListParagraph"/>
              <w:numPr>
                <w:ilvl w:val="0"/>
                <w:numId w:val="8"/>
              </w:numPr>
              <w:ind w:left="453" w:right="77"/>
              <w:rPr>
                <w:sz w:val="16"/>
                <w:szCs w:val="16"/>
              </w:rPr>
            </w:pPr>
            <w:r w:rsidRPr="00BA2875">
              <w:rPr>
                <w:sz w:val="16"/>
                <w:szCs w:val="16"/>
              </w:rPr>
              <w:t>The over 65s are less likely to go to church because they are more likely to be ill or disabled</w:t>
            </w:r>
          </w:p>
          <w:p w:rsidR="008062BA" w:rsidRPr="00BA2875" w:rsidRDefault="008062BA" w:rsidP="00BA2875">
            <w:pPr>
              <w:ind w:right="77"/>
              <w:rPr>
                <w:sz w:val="16"/>
                <w:szCs w:val="16"/>
              </w:rPr>
            </w:pPr>
          </w:p>
        </w:tc>
        <w:tc>
          <w:tcPr>
            <w:tcW w:w="9756" w:type="dxa"/>
          </w:tcPr>
          <w:p w:rsidR="002B620B" w:rsidRPr="00BA2875" w:rsidRDefault="008062BA" w:rsidP="00BA2875">
            <w:pPr>
              <w:ind w:right="143"/>
              <w:rPr>
                <w:sz w:val="16"/>
                <w:szCs w:val="16"/>
              </w:rPr>
            </w:pPr>
            <w:r w:rsidRPr="00BA2875">
              <w:rPr>
                <w:sz w:val="16"/>
                <w:szCs w:val="16"/>
              </w:rPr>
              <w:t>Ageing effect:</w:t>
            </w:r>
          </w:p>
          <w:p w:rsidR="008062BA" w:rsidRPr="00BA2875" w:rsidRDefault="008062BA" w:rsidP="00BA2875">
            <w:pPr>
              <w:pStyle w:val="ListParagraph"/>
              <w:numPr>
                <w:ilvl w:val="0"/>
                <w:numId w:val="9"/>
              </w:numPr>
              <w:ind w:left="459" w:right="143"/>
              <w:rPr>
                <w:sz w:val="16"/>
                <w:szCs w:val="16"/>
              </w:rPr>
            </w:pPr>
            <w:r w:rsidRPr="00BA2875">
              <w:rPr>
                <w:sz w:val="16"/>
                <w:szCs w:val="16"/>
              </w:rPr>
              <w:t>Heelas (2005) argues that people become more religious as they get older.  As people approach death they become naturally more concerned about where they are going.  As a result people are more likely to attend church.</w:t>
            </w:r>
          </w:p>
          <w:p w:rsidR="008062BA" w:rsidRPr="00BA2875" w:rsidRDefault="008062BA" w:rsidP="00BA2875">
            <w:pPr>
              <w:ind w:right="143"/>
              <w:rPr>
                <w:sz w:val="16"/>
                <w:szCs w:val="16"/>
              </w:rPr>
            </w:pPr>
            <w:r w:rsidRPr="00BA2875">
              <w:rPr>
                <w:sz w:val="16"/>
                <w:szCs w:val="16"/>
              </w:rPr>
              <w:t>Generational effect</w:t>
            </w:r>
          </w:p>
          <w:p w:rsidR="008062BA" w:rsidRPr="00BA2875" w:rsidRDefault="008062BA" w:rsidP="00BA2875">
            <w:pPr>
              <w:pStyle w:val="ListParagraph"/>
              <w:numPr>
                <w:ilvl w:val="0"/>
                <w:numId w:val="9"/>
              </w:numPr>
              <w:ind w:left="459" w:right="143"/>
              <w:rPr>
                <w:sz w:val="16"/>
                <w:szCs w:val="16"/>
              </w:rPr>
            </w:pPr>
            <w:r w:rsidRPr="00BA2875">
              <w:rPr>
                <w:sz w:val="16"/>
                <w:szCs w:val="16"/>
              </w:rPr>
              <w:t>Each new generation is less religious than the last.  More older people go to church because religion was more popular when they grew up</w:t>
            </w:r>
            <w:r w:rsidR="007C76D7" w:rsidRPr="00BA2875">
              <w:rPr>
                <w:noProof/>
                <w:sz w:val="16"/>
                <w:szCs w:val="16"/>
                <w:lang w:eastAsia="en-GB"/>
              </w:rPr>
              <w:t xml:space="preserve"> </w:t>
            </w:r>
          </w:p>
          <w:p w:rsidR="008062BA" w:rsidRPr="00BA2875" w:rsidRDefault="0003547D" w:rsidP="00BA2875">
            <w:pPr>
              <w:ind w:right="143"/>
              <w:rPr>
                <w:sz w:val="16"/>
                <w:szCs w:val="16"/>
              </w:rPr>
            </w:pPr>
            <w:r>
              <w:rPr>
                <w:noProof/>
                <w:sz w:val="16"/>
                <w:szCs w:val="16"/>
              </w:rPr>
              <w:drawing>
                <wp:anchor distT="0" distB="0" distL="114300" distR="114300" simplePos="0" relativeHeight="251658240" behindDoc="1" locked="0" layoutInCell="1" allowOverlap="1">
                  <wp:simplePos x="0" y="0"/>
                  <wp:positionH relativeFrom="column">
                    <wp:posOffset>4831080</wp:posOffset>
                  </wp:positionH>
                  <wp:positionV relativeFrom="paragraph">
                    <wp:posOffset>-654050</wp:posOffset>
                  </wp:positionV>
                  <wp:extent cx="1180465" cy="1583055"/>
                  <wp:effectExtent l="19050" t="19050" r="635" b="0"/>
                  <wp:wrapTight wrapText="bothSides">
                    <wp:wrapPolygon edited="0">
                      <wp:start x="-349" y="-260"/>
                      <wp:lineTo x="-349" y="21574"/>
                      <wp:lineTo x="21612" y="21574"/>
                      <wp:lineTo x="21612" y="-260"/>
                      <wp:lineTo x="-349" y="-260"/>
                    </wp:wrapPolygon>
                  </wp:wrapTight>
                  <wp:docPr id="4" name="Picture 1" descr="http://www.cs.huji.ac.il/~raananf/projects/upsampling/old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huji.ac.il/~raananf/projects/upsampling/oldman.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583055"/>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tc>
        <w:tc>
          <w:tcPr>
            <w:tcW w:w="2456" w:type="dxa"/>
          </w:tcPr>
          <w:p w:rsidR="008062BA" w:rsidRPr="00BA2875" w:rsidRDefault="008062BA" w:rsidP="00BA2875">
            <w:pPr>
              <w:pStyle w:val="ListParagraph"/>
              <w:numPr>
                <w:ilvl w:val="0"/>
                <w:numId w:val="10"/>
              </w:numPr>
              <w:ind w:left="459" w:right="143"/>
              <w:rPr>
                <w:sz w:val="16"/>
                <w:szCs w:val="16"/>
              </w:rPr>
            </w:pPr>
            <w:r w:rsidRPr="00BA2875">
              <w:rPr>
                <w:sz w:val="16"/>
                <w:szCs w:val="16"/>
              </w:rPr>
              <w:t>Secularisation suggests that religion is becoming less influential in people’s lives.  Voas and Crockett suggests that that religious observance decreases with every generation</w:t>
            </w:r>
          </w:p>
          <w:p w:rsidR="008062BA" w:rsidRPr="00BA2875" w:rsidRDefault="008062BA" w:rsidP="00BA2875">
            <w:pPr>
              <w:pStyle w:val="ListParagraph"/>
              <w:numPr>
                <w:ilvl w:val="0"/>
                <w:numId w:val="10"/>
              </w:numPr>
              <w:ind w:left="459" w:right="143"/>
              <w:rPr>
                <w:sz w:val="16"/>
                <w:szCs w:val="16"/>
              </w:rPr>
            </w:pPr>
            <w:r w:rsidRPr="00BA2875">
              <w:rPr>
                <w:sz w:val="16"/>
                <w:szCs w:val="16"/>
              </w:rPr>
              <w:t xml:space="preserve">Age has no impact for NRMs or some other religious movements.  For example </w:t>
            </w:r>
            <w:r w:rsidR="00D57CD6" w:rsidRPr="00BA2875">
              <w:rPr>
                <w:sz w:val="16"/>
                <w:szCs w:val="16"/>
              </w:rPr>
              <w:t>Pentecostalism have a very young membership</w:t>
            </w:r>
          </w:p>
          <w:p w:rsidR="002B620B" w:rsidRPr="00BA2875" w:rsidRDefault="002B620B" w:rsidP="00BA2875">
            <w:pPr>
              <w:ind w:right="143"/>
              <w:rPr>
                <w:sz w:val="16"/>
                <w:szCs w:val="16"/>
              </w:rPr>
            </w:pPr>
          </w:p>
        </w:tc>
      </w:tr>
      <w:tr w:rsidR="00D57CD6" w:rsidRPr="00BA2875" w:rsidTr="00BA2875">
        <w:tc>
          <w:tcPr>
            <w:tcW w:w="15464" w:type="dxa"/>
            <w:gridSpan w:val="4"/>
          </w:tcPr>
          <w:p w:rsidR="00D57CD6" w:rsidRPr="00BA2875" w:rsidRDefault="00D57CD6" w:rsidP="00BA2875">
            <w:pPr>
              <w:ind w:right="143"/>
              <w:rPr>
                <w:sz w:val="16"/>
                <w:szCs w:val="16"/>
              </w:rPr>
            </w:pPr>
            <w:r w:rsidRPr="00BA2875">
              <w:rPr>
                <w:sz w:val="16"/>
                <w:szCs w:val="16"/>
              </w:rPr>
              <w:t>Conclusion:</w:t>
            </w:r>
          </w:p>
          <w:p w:rsidR="00D57CD6" w:rsidRPr="00BA2875" w:rsidRDefault="00D57CD6" w:rsidP="00BA2875">
            <w:pPr>
              <w:pStyle w:val="ListParagraph"/>
              <w:numPr>
                <w:ilvl w:val="0"/>
                <w:numId w:val="11"/>
              </w:numPr>
              <w:ind w:right="143"/>
              <w:rPr>
                <w:sz w:val="16"/>
                <w:szCs w:val="16"/>
              </w:rPr>
            </w:pPr>
            <w:r w:rsidRPr="00BA2875">
              <w:rPr>
                <w:sz w:val="16"/>
                <w:szCs w:val="16"/>
              </w:rPr>
              <w:t>Postmodernists would argue that it is difficult to study one social group in isolation.  Is an elderly Muslim woman religious because of her gender, ethnicity or age; rather a combination of all three.</w:t>
            </w:r>
          </w:p>
          <w:p w:rsidR="00D57CD6" w:rsidRPr="00BA2875" w:rsidRDefault="00D57CD6" w:rsidP="00BA2875">
            <w:pPr>
              <w:pStyle w:val="ListParagraph"/>
              <w:numPr>
                <w:ilvl w:val="0"/>
                <w:numId w:val="11"/>
              </w:numPr>
              <w:ind w:right="143"/>
              <w:rPr>
                <w:sz w:val="16"/>
                <w:szCs w:val="16"/>
              </w:rPr>
            </w:pPr>
            <w:r w:rsidRPr="00BA2875">
              <w:rPr>
                <w:sz w:val="16"/>
                <w:szCs w:val="16"/>
              </w:rPr>
              <w:t>Postmodernists would also be critical of the definition of social groups.  Modern definitions of gender and ethnicity have become outdated and therefore cannot be used in a description of religions relationship to social groups.</w:t>
            </w:r>
          </w:p>
        </w:tc>
      </w:tr>
    </w:tbl>
    <w:p w:rsidR="00F07CF0" w:rsidRDefault="00F07CF0"/>
    <w:sectPr w:rsidR="00F07CF0" w:rsidSect="00BB558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3802"/>
    <w:multiLevelType w:val="hybridMultilevel"/>
    <w:tmpl w:val="84AE6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53B44"/>
    <w:multiLevelType w:val="hybridMultilevel"/>
    <w:tmpl w:val="C55AC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35378"/>
    <w:multiLevelType w:val="hybridMultilevel"/>
    <w:tmpl w:val="CD7CA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B6396"/>
    <w:multiLevelType w:val="hybridMultilevel"/>
    <w:tmpl w:val="EA24F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E42E4F"/>
    <w:multiLevelType w:val="hybridMultilevel"/>
    <w:tmpl w:val="EA24F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883CDC"/>
    <w:multiLevelType w:val="hybridMultilevel"/>
    <w:tmpl w:val="EA24F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07386"/>
    <w:multiLevelType w:val="hybridMultilevel"/>
    <w:tmpl w:val="4DDC4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E27D3D"/>
    <w:multiLevelType w:val="hybridMultilevel"/>
    <w:tmpl w:val="EA24F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A4CA3"/>
    <w:multiLevelType w:val="hybridMultilevel"/>
    <w:tmpl w:val="4672D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D01071"/>
    <w:multiLevelType w:val="hybridMultilevel"/>
    <w:tmpl w:val="C6F89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955072"/>
    <w:multiLevelType w:val="hybridMultilevel"/>
    <w:tmpl w:val="C3681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99C2514"/>
    <w:multiLevelType w:val="hybridMultilevel"/>
    <w:tmpl w:val="38A8D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11"/>
  </w:num>
  <w:num w:numId="6">
    <w:abstractNumId w:val="8"/>
  </w:num>
  <w:num w:numId="7">
    <w:abstractNumId w:val="7"/>
  </w:num>
  <w:num w:numId="8">
    <w:abstractNumId w:val="9"/>
  </w:num>
  <w:num w:numId="9">
    <w:abstractNumId w:val="0"/>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8D"/>
    <w:rsid w:val="0003547D"/>
    <w:rsid w:val="00047E56"/>
    <w:rsid w:val="00072F4F"/>
    <w:rsid w:val="000901F1"/>
    <w:rsid w:val="000B077D"/>
    <w:rsid w:val="000B7A91"/>
    <w:rsid w:val="000D1FD2"/>
    <w:rsid w:val="001D54A9"/>
    <w:rsid w:val="001E60AB"/>
    <w:rsid w:val="00231B95"/>
    <w:rsid w:val="00236E73"/>
    <w:rsid w:val="00252EA6"/>
    <w:rsid w:val="00272358"/>
    <w:rsid w:val="002B4007"/>
    <w:rsid w:val="002B620B"/>
    <w:rsid w:val="003E7B01"/>
    <w:rsid w:val="003F1F0F"/>
    <w:rsid w:val="004209F2"/>
    <w:rsid w:val="00466669"/>
    <w:rsid w:val="004974C1"/>
    <w:rsid w:val="004B1634"/>
    <w:rsid w:val="00536A3A"/>
    <w:rsid w:val="00537FAD"/>
    <w:rsid w:val="005878DA"/>
    <w:rsid w:val="005C159E"/>
    <w:rsid w:val="00664EDC"/>
    <w:rsid w:val="006B5C0D"/>
    <w:rsid w:val="00744F0D"/>
    <w:rsid w:val="007C76D7"/>
    <w:rsid w:val="008062BA"/>
    <w:rsid w:val="00971C4E"/>
    <w:rsid w:val="009729ED"/>
    <w:rsid w:val="009829FC"/>
    <w:rsid w:val="00984880"/>
    <w:rsid w:val="009D4766"/>
    <w:rsid w:val="00A1298A"/>
    <w:rsid w:val="00A258A5"/>
    <w:rsid w:val="00AC222B"/>
    <w:rsid w:val="00B83E81"/>
    <w:rsid w:val="00B943E5"/>
    <w:rsid w:val="00BA2875"/>
    <w:rsid w:val="00BB558D"/>
    <w:rsid w:val="00CC2120"/>
    <w:rsid w:val="00CE4D4E"/>
    <w:rsid w:val="00D4792D"/>
    <w:rsid w:val="00D57CD6"/>
    <w:rsid w:val="00DC592D"/>
    <w:rsid w:val="00E624A4"/>
    <w:rsid w:val="00E93B7C"/>
    <w:rsid w:val="00EA6999"/>
    <w:rsid w:val="00EF35F3"/>
    <w:rsid w:val="00F07CF0"/>
    <w:rsid w:val="00F811C7"/>
    <w:rsid w:val="00F9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F188739-CABA-4B8C-B03F-596A2E85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CF0"/>
    <w:pPr>
      <w:ind w:right="170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6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B1634"/>
    <w:rPr>
      <w:rFonts w:ascii="Tahoma" w:hAnsi="Tahoma" w:cs="Tahoma"/>
      <w:sz w:val="16"/>
      <w:szCs w:val="16"/>
    </w:rPr>
  </w:style>
  <w:style w:type="character" w:customStyle="1" w:styleId="BalloonTextChar">
    <w:name w:val="Balloon Text Char"/>
    <w:basedOn w:val="DefaultParagraphFont"/>
    <w:link w:val="BalloonText"/>
    <w:uiPriority w:val="99"/>
    <w:semiHidden/>
    <w:rsid w:val="004B1634"/>
    <w:rPr>
      <w:rFonts w:ascii="Tahoma" w:hAnsi="Tahoma" w:cs="Tahoma"/>
      <w:sz w:val="16"/>
      <w:szCs w:val="16"/>
    </w:rPr>
  </w:style>
  <w:style w:type="paragraph" w:styleId="ListParagraph">
    <w:name w:val="List Paragraph"/>
    <w:basedOn w:val="Normal"/>
    <w:uiPriority w:val="34"/>
    <w:qFormat/>
    <w:rsid w:val="00090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sdale</dc:creator>
  <cp:keywords/>
  <dc:description/>
  <cp:lastModifiedBy>Chris</cp:lastModifiedBy>
  <cp:revision>2</cp:revision>
  <dcterms:created xsi:type="dcterms:W3CDTF">2017-12-08T11:15:00Z</dcterms:created>
  <dcterms:modified xsi:type="dcterms:W3CDTF">2017-12-08T11:15:00Z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0x010100F9139624B944A1479C10ADECA3794E34</vt:lpwstr>
  </property>
  <property fmtid="{D5CDD505-2E9C-101B-9397-08002B2CF9AE}" pid="3" name="Tags">
    <vt:lpwstr/>
  </property>
  <property fmtid="{D5CDD505-2E9C-101B-9397-08002B2CF9AE}" pid="4" name="Mastery Score">
    <vt:lpwstr/>
  </property>
</Properties>
</file>